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BF2" w:rsidRDefault="00EA471F">
      <w:pPr>
        <w:jc w:val="center"/>
        <w:rPr>
          <w:rFonts w:ascii="Times New Roman" w:hAnsi="Times New Roman"/>
          <w:b/>
          <w:bCs/>
          <w:sz w:val="28"/>
          <w:szCs w:val="28"/>
        </w:rPr>
      </w:pPr>
      <w:r>
        <w:rPr>
          <w:rFonts w:ascii="Times New Roman" w:hAnsi="Times New Roman" w:hint="eastAsia"/>
          <w:b/>
          <w:bCs/>
          <w:sz w:val="28"/>
          <w:szCs w:val="28"/>
        </w:rPr>
        <w:t>Skopos</w:t>
      </w:r>
      <w:r w:rsidR="0045159B">
        <w:rPr>
          <w:rFonts w:ascii="Times New Roman" w:hAnsi="Times New Roman"/>
          <w:b/>
          <w:bCs/>
          <w:sz w:val="28"/>
          <w:szCs w:val="28"/>
        </w:rPr>
        <w:t xml:space="preserve"> theory</w:t>
      </w:r>
    </w:p>
    <w:p w:rsidR="00CC7BF2" w:rsidRDefault="00EA471F">
      <w:pPr>
        <w:jc w:val="center"/>
        <w:rPr>
          <w:rFonts w:ascii="Times New Roman" w:hAnsi="Times New Roman"/>
          <w:sz w:val="24"/>
        </w:rPr>
      </w:pPr>
      <w:r>
        <w:rPr>
          <w:rFonts w:ascii="Times New Roman" w:hAnsi="Times New Roman" w:hint="eastAsia"/>
          <w:sz w:val="24"/>
        </w:rPr>
        <w:t>Xiao Shuangling</w:t>
      </w:r>
      <w:r>
        <w:rPr>
          <w:rFonts w:ascii="Times New Roman" w:hAnsi="Times New Roman"/>
          <w:sz w:val="24"/>
        </w:rPr>
        <w:t xml:space="preserve"> &amp; </w:t>
      </w:r>
      <w:r>
        <w:rPr>
          <w:rFonts w:ascii="Times New Roman" w:hAnsi="Times New Roman" w:hint="eastAsia"/>
          <w:sz w:val="24"/>
        </w:rPr>
        <w:t>Wang Xuan</w:t>
      </w:r>
      <w:r w:rsidR="0045159B">
        <w:rPr>
          <w:rFonts w:ascii="Times New Roman" w:hAnsi="Times New Roman"/>
          <w:sz w:val="24"/>
        </w:rPr>
        <w:t xml:space="preserve">   2020/10/30</w:t>
      </w:r>
    </w:p>
    <w:p w:rsidR="00CC7BF2" w:rsidRDefault="0045159B">
      <w:pPr>
        <w:rPr>
          <w:rFonts w:ascii="Times New Roman" w:hAnsi="Times New Roman"/>
          <w:b/>
          <w:bCs/>
          <w:sz w:val="24"/>
        </w:rPr>
      </w:pPr>
      <w:bookmarkStart w:id="0" w:name="OLE_LINK42"/>
      <w:bookmarkStart w:id="1" w:name="OLE_LINK41"/>
      <w:r>
        <w:rPr>
          <w:rFonts w:ascii="Times New Roman" w:hAnsi="Times New Roman"/>
          <w:b/>
          <w:bCs/>
          <w:sz w:val="24"/>
        </w:rPr>
        <w:t xml:space="preserve">1. </w:t>
      </w:r>
      <w:r w:rsidR="00EA471F">
        <w:rPr>
          <w:rFonts w:ascii="Times New Roman" w:hAnsi="Times New Roman" w:hint="eastAsia"/>
          <w:b/>
          <w:bCs/>
          <w:sz w:val="24"/>
        </w:rPr>
        <w:t>Definition</w:t>
      </w:r>
    </w:p>
    <w:p w:rsidR="00EA471F" w:rsidRPr="00EA471F" w:rsidRDefault="00EA471F" w:rsidP="00EA471F">
      <w:pPr>
        <w:ind w:firstLineChars="100" w:firstLine="240"/>
        <w:rPr>
          <w:rFonts w:ascii="Times New Roman" w:hAnsi="Times New Roman"/>
          <w:sz w:val="24"/>
        </w:rPr>
      </w:pPr>
      <w:bookmarkStart w:id="2" w:name="OLE_LINK46"/>
      <w:bookmarkStart w:id="3" w:name="OLE_LINK45"/>
      <w:bookmarkEnd w:id="0"/>
      <w:bookmarkEnd w:id="1"/>
      <w:r w:rsidRPr="00EA471F">
        <w:rPr>
          <w:rFonts w:ascii="Times New Roman" w:hAnsi="Times New Roman"/>
          <w:sz w:val="24"/>
        </w:rPr>
        <w:t>Skopos is a Greek word defined as "purpose".  It is a technical</w:t>
      </w:r>
      <w:r w:rsidR="0035414B">
        <w:rPr>
          <w:rFonts w:ascii="Times New Roman" w:hAnsi="Times New Roman"/>
          <w:sz w:val="24"/>
        </w:rPr>
        <w:t xml:space="preserve"> term, coined by Hans Vermeer that</w:t>
      </w:r>
      <w:r w:rsidRPr="00EA471F">
        <w:rPr>
          <w:rFonts w:ascii="Times New Roman" w:hAnsi="Times New Roman"/>
          <w:sz w:val="24"/>
        </w:rPr>
        <w:t xml:space="preserve"> represents the aim of a translation. </w:t>
      </w:r>
    </w:p>
    <w:p w:rsidR="00EA471F" w:rsidRDefault="00EA471F" w:rsidP="00EA471F">
      <w:pPr>
        <w:ind w:firstLineChars="100" w:firstLine="240"/>
        <w:rPr>
          <w:rFonts w:ascii="Times New Roman" w:hAnsi="Times New Roman" w:hint="eastAsia"/>
          <w:sz w:val="24"/>
        </w:rPr>
      </w:pPr>
      <w:r w:rsidRPr="00EA471F">
        <w:rPr>
          <w:rFonts w:ascii="Times New Roman" w:hAnsi="Times New Roman"/>
          <w:sz w:val="24"/>
        </w:rPr>
        <w:t>In 1984 K. Reiss and H.J.Vermeer co-authored “Foundation for a General Theory of Translation”, which formulated “skopos” theory principles.</w:t>
      </w:r>
      <w:r>
        <w:rPr>
          <w:rFonts w:ascii="Times New Roman" w:hAnsi="Times New Roman" w:hint="eastAsia"/>
          <w:sz w:val="24"/>
        </w:rPr>
        <w:t xml:space="preserve"> </w:t>
      </w:r>
    </w:p>
    <w:p w:rsidR="00EA471F" w:rsidRDefault="00EA471F" w:rsidP="00EA471F">
      <w:pPr>
        <w:ind w:firstLineChars="100" w:firstLine="240"/>
        <w:rPr>
          <w:rFonts w:ascii="Times New Roman" w:hAnsi="Times New Roman" w:hint="eastAsia"/>
          <w:sz w:val="24"/>
        </w:rPr>
      </w:pPr>
      <w:r w:rsidRPr="00EA471F">
        <w:rPr>
          <w:rFonts w:ascii="Times New Roman" w:hAnsi="Times New Roman"/>
          <w:sz w:val="24"/>
        </w:rPr>
        <w:t>Skopos theory focuses on the purpose of the translation, which determines the methods and strategies of translating, which are employed to produce functionally adequate result.</w:t>
      </w:r>
    </w:p>
    <w:p w:rsidR="00EA471F" w:rsidRDefault="008A5862" w:rsidP="008A5862">
      <w:pPr>
        <w:ind w:firstLineChars="100" w:firstLine="240"/>
        <w:rPr>
          <w:rFonts w:ascii="Times New Roman" w:hAnsi="Times New Roman" w:hint="eastAsia"/>
          <w:sz w:val="24"/>
        </w:rPr>
      </w:pPr>
      <w:r w:rsidRPr="008A5862">
        <w:rPr>
          <w:rFonts w:ascii="Times New Roman" w:hAnsi="Times New Roman"/>
          <w:sz w:val="24"/>
        </w:rPr>
        <w:t>That is to say, it centers on the purpose of the translation and the function that TT (Target Text</w:t>
      </w:r>
      <w:proofErr w:type="gramStart"/>
      <w:r w:rsidRPr="008A5862">
        <w:rPr>
          <w:rFonts w:ascii="Times New Roman" w:hAnsi="Times New Roman"/>
          <w:sz w:val="24"/>
        </w:rPr>
        <w:t>)will</w:t>
      </w:r>
      <w:proofErr w:type="gramEnd"/>
      <w:r w:rsidRPr="008A5862">
        <w:rPr>
          <w:rFonts w:ascii="Times New Roman" w:hAnsi="Times New Roman"/>
          <w:sz w:val="24"/>
        </w:rPr>
        <w:t xml:space="preserve"> fulfill in the target culture, which may not be necessarily the same as the purpose of ST(Source Text) in the source culture.</w:t>
      </w:r>
    </w:p>
    <w:p w:rsidR="0035414B" w:rsidRDefault="0035414B" w:rsidP="008A5862">
      <w:pPr>
        <w:ind w:firstLineChars="100" w:firstLine="240"/>
        <w:rPr>
          <w:rFonts w:ascii="Times New Roman" w:hAnsi="Times New Roman" w:hint="eastAsia"/>
          <w:sz w:val="24"/>
        </w:rPr>
      </w:pPr>
    </w:p>
    <w:p w:rsidR="008A5862" w:rsidRDefault="008A5862" w:rsidP="008A5862">
      <w:pPr>
        <w:pStyle w:val="a5"/>
        <w:numPr>
          <w:ilvl w:val="1"/>
          <w:numId w:val="1"/>
        </w:numPr>
        <w:ind w:firstLineChars="0"/>
        <w:rPr>
          <w:rFonts w:ascii="Times New Roman" w:hAnsi="Times New Roman" w:hint="eastAsia"/>
          <w:b/>
          <w:bCs/>
          <w:sz w:val="24"/>
        </w:rPr>
      </w:pPr>
      <w:r w:rsidRPr="008A5862">
        <w:rPr>
          <w:rFonts w:ascii="Times New Roman" w:hAnsi="Times New Roman"/>
          <w:b/>
          <w:bCs/>
          <w:sz w:val="24"/>
        </w:rPr>
        <w:t xml:space="preserve">Three purposes: </w:t>
      </w:r>
      <w:r w:rsidRPr="008A5862">
        <w:rPr>
          <w:rFonts w:ascii="Times New Roman" w:hAnsi="Times New Roman"/>
          <w:b/>
          <w:bCs/>
          <w:sz w:val="24"/>
        </w:rPr>
        <w:t>general, communi</w:t>
      </w:r>
      <w:r w:rsidRPr="008A5862">
        <w:rPr>
          <w:rFonts w:ascii="Times New Roman" w:hAnsi="Times New Roman"/>
          <w:b/>
          <w:bCs/>
          <w:sz w:val="24"/>
        </w:rPr>
        <w:t>cative, and strategic purposes.</w:t>
      </w:r>
    </w:p>
    <w:p w:rsidR="008A5862" w:rsidRPr="008A5862" w:rsidRDefault="008A5862" w:rsidP="008A5862">
      <w:pPr>
        <w:ind w:firstLineChars="100" w:firstLine="241"/>
        <w:rPr>
          <w:rFonts w:ascii="Times New Roman" w:hAnsi="Times New Roman" w:hint="eastAsia"/>
          <w:b/>
          <w:bCs/>
          <w:sz w:val="24"/>
        </w:rPr>
      </w:pPr>
      <w:r>
        <w:rPr>
          <w:rFonts w:ascii="Times New Roman" w:hAnsi="Times New Roman" w:hint="eastAsia"/>
          <w:b/>
          <w:bCs/>
          <w:sz w:val="24"/>
        </w:rPr>
        <w:t xml:space="preserve">1.1.1 </w:t>
      </w:r>
      <w:r w:rsidRPr="008A5862">
        <w:rPr>
          <w:rFonts w:ascii="Times New Roman" w:hAnsi="Times New Roman" w:hint="eastAsia"/>
          <w:b/>
          <w:bCs/>
          <w:sz w:val="24"/>
        </w:rPr>
        <w:t>The general purposes</w:t>
      </w:r>
    </w:p>
    <w:p w:rsidR="005620C3" w:rsidRPr="005620C3" w:rsidRDefault="008A5862" w:rsidP="005620C3">
      <w:pPr>
        <w:ind w:firstLineChars="200" w:firstLine="480"/>
        <w:rPr>
          <w:rFonts w:ascii="Times New Roman" w:hAnsi="Times New Roman" w:hint="eastAsia"/>
          <w:sz w:val="24"/>
        </w:rPr>
      </w:pPr>
      <w:r w:rsidRPr="005620C3">
        <w:rPr>
          <w:rFonts w:ascii="Times New Roman" w:hAnsi="Times New Roman"/>
          <w:sz w:val="24"/>
        </w:rPr>
        <w:t>T</w:t>
      </w:r>
      <w:r w:rsidRPr="005620C3">
        <w:rPr>
          <w:rFonts w:ascii="Times New Roman" w:hAnsi="Times New Roman" w:hint="eastAsia"/>
          <w:sz w:val="24"/>
        </w:rPr>
        <w:t>he general purpose aimed at by the translator in the translation process</w:t>
      </w:r>
      <w:r w:rsidR="005620C3" w:rsidRPr="005620C3">
        <w:rPr>
          <w:rFonts w:ascii="Times New Roman" w:hAnsi="Times New Roman" w:hint="eastAsia"/>
          <w:sz w:val="24"/>
        </w:rPr>
        <w:t>.</w:t>
      </w:r>
    </w:p>
    <w:p w:rsidR="008A5862" w:rsidRDefault="008A5862" w:rsidP="008A5862">
      <w:pPr>
        <w:rPr>
          <w:rFonts w:ascii="Times New Roman" w:hAnsi="Times New Roman" w:hint="eastAsia"/>
          <w:b/>
          <w:bCs/>
          <w:sz w:val="24"/>
        </w:rPr>
      </w:pPr>
      <w:r>
        <w:rPr>
          <w:rFonts w:ascii="Times New Roman" w:hAnsi="Times New Roman" w:hint="eastAsia"/>
          <w:b/>
          <w:bCs/>
          <w:sz w:val="24"/>
        </w:rPr>
        <w:t xml:space="preserve">  1.1.2 </w:t>
      </w:r>
      <w:r w:rsidR="005620C3">
        <w:rPr>
          <w:rFonts w:ascii="Times New Roman" w:hAnsi="Times New Roman" w:hint="eastAsia"/>
          <w:b/>
          <w:bCs/>
          <w:sz w:val="24"/>
        </w:rPr>
        <w:t>The communicative purpose</w:t>
      </w:r>
    </w:p>
    <w:p w:rsidR="005620C3" w:rsidRPr="005620C3" w:rsidRDefault="005620C3" w:rsidP="005620C3">
      <w:pPr>
        <w:ind w:firstLine="480"/>
        <w:rPr>
          <w:rFonts w:ascii="Times New Roman" w:hAnsi="Times New Roman" w:hint="eastAsia"/>
          <w:sz w:val="24"/>
        </w:rPr>
      </w:pPr>
      <w:r w:rsidRPr="005620C3">
        <w:rPr>
          <w:rFonts w:ascii="Times New Roman" w:hAnsi="Times New Roman"/>
          <w:sz w:val="24"/>
        </w:rPr>
        <w:t>T</w:t>
      </w:r>
      <w:r w:rsidRPr="005620C3">
        <w:rPr>
          <w:rFonts w:ascii="Times New Roman" w:hAnsi="Times New Roman" w:hint="eastAsia"/>
          <w:sz w:val="24"/>
        </w:rPr>
        <w:t>he communicative purpose aimed at by the target text in the target situation.</w:t>
      </w:r>
    </w:p>
    <w:p w:rsidR="005620C3" w:rsidRDefault="005620C3" w:rsidP="005620C3">
      <w:pPr>
        <w:rPr>
          <w:rFonts w:ascii="Times New Roman" w:hAnsi="Times New Roman" w:hint="eastAsia"/>
          <w:b/>
          <w:bCs/>
          <w:sz w:val="24"/>
        </w:rPr>
      </w:pPr>
      <w:r>
        <w:rPr>
          <w:rFonts w:ascii="Times New Roman" w:hAnsi="Times New Roman" w:hint="eastAsia"/>
          <w:b/>
          <w:bCs/>
          <w:sz w:val="24"/>
        </w:rPr>
        <w:t xml:space="preserve">  1.1.3 The strategic purpose</w:t>
      </w:r>
    </w:p>
    <w:p w:rsidR="005620C3" w:rsidRDefault="005620C3" w:rsidP="0035414B">
      <w:pPr>
        <w:ind w:firstLine="480"/>
        <w:rPr>
          <w:rFonts w:ascii="Times New Roman" w:hAnsi="Times New Roman" w:hint="eastAsia"/>
          <w:sz w:val="24"/>
        </w:rPr>
      </w:pPr>
      <w:r w:rsidRPr="005620C3">
        <w:rPr>
          <w:rFonts w:ascii="Times New Roman" w:hAnsi="Times New Roman"/>
          <w:sz w:val="24"/>
        </w:rPr>
        <w:t>T</w:t>
      </w:r>
      <w:r w:rsidRPr="005620C3">
        <w:rPr>
          <w:rFonts w:ascii="Times New Roman" w:hAnsi="Times New Roman" w:hint="eastAsia"/>
          <w:sz w:val="24"/>
        </w:rPr>
        <w:t xml:space="preserve">he </w:t>
      </w:r>
      <w:r w:rsidRPr="005620C3">
        <w:rPr>
          <w:rFonts w:ascii="Times New Roman" w:hAnsi="Times New Roman"/>
          <w:sz w:val="24"/>
        </w:rPr>
        <w:t>strategic</w:t>
      </w:r>
      <w:r w:rsidRPr="005620C3">
        <w:rPr>
          <w:rFonts w:ascii="Times New Roman" w:hAnsi="Times New Roman" w:hint="eastAsia"/>
          <w:sz w:val="24"/>
        </w:rPr>
        <w:t xml:space="preserve"> purpose aimed at by a particular translation strategy or procedure.</w:t>
      </w:r>
    </w:p>
    <w:p w:rsidR="0035414B" w:rsidRPr="005620C3" w:rsidRDefault="0035414B" w:rsidP="0035414B">
      <w:pPr>
        <w:ind w:firstLine="480"/>
        <w:rPr>
          <w:rFonts w:ascii="Times New Roman" w:hAnsi="Times New Roman" w:hint="eastAsia"/>
          <w:sz w:val="24"/>
        </w:rPr>
      </w:pPr>
    </w:p>
    <w:bookmarkEnd w:id="2"/>
    <w:bookmarkEnd w:id="3"/>
    <w:p w:rsidR="005620C3" w:rsidRDefault="005620C3" w:rsidP="005620C3">
      <w:pPr>
        <w:pStyle w:val="a5"/>
        <w:numPr>
          <w:ilvl w:val="1"/>
          <w:numId w:val="1"/>
        </w:numPr>
        <w:ind w:firstLineChars="0"/>
        <w:rPr>
          <w:rFonts w:ascii="Times New Roman" w:hAnsi="Times New Roman" w:hint="eastAsia"/>
          <w:b/>
          <w:bCs/>
          <w:sz w:val="24"/>
        </w:rPr>
      </w:pPr>
      <w:r w:rsidRPr="005620C3">
        <w:rPr>
          <w:rFonts w:ascii="Times New Roman" w:hAnsi="Times New Roman"/>
          <w:b/>
          <w:bCs/>
          <w:sz w:val="24"/>
        </w:rPr>
        <w:t xml:space="preserve">Three main rules of Skopos Theory </w:t>
      </w:r>
    </w:p>
    <w:p w:rsidR="005620C3" w:rsidRDefault="005620C3" w:rsidP="005620C3">
      <w:pPr>
        <w:ind w:firstLineChars="100" w:firstLine="241"/>
        <w:rPr>
          <w:rFonts w:ascii="Times New Roman" w:hAnsi="Times New Roman" w:hint="eastAsia"/>
          <w:sz w:val="24"/>
        </w:rPr>
      </w:pPr>
      <w:r>
        <w:rPr>
          <w:rFonts w:ascii="Times New Roman" w:hAnsi="Times New Roman" w:hint="eastAsia"/>
          <w:b/>
          <w:bCs/>
          <w:sz w:val="24"/>
        </w:rPr>
        <w:t xml:space="preserve">1.2.1 </w:t>
      </w:r>
      <w:r w:rsidRPr="005620C3">
        <w:rPr>
          <w:rFonts w:ascii="Times New Roman" w:hAnsi="Times New Roman"/>
          <w:b/>
          <w:bCs/>
          <w:sz w:val="24"/>
        </w:rPr>
        <w:t>The Skopos rule</w:t>
      </w:r>
      <w:r w:rsidR="0045159B" w:rsidRPr="005620C3">
        <w:rPr>
          <w:rFonts w:ascii="Times New Roman" w:hAnsi="Times New Roman"/>
          <w:sz w:val="24"/>
        </w:rPr>
        <w:t xml:space="preserve"> </w:t>
      </w:r>
    </w:p>
    <w:p w:rsidR="005620C3" w:rsidRDefault="005620C3" w:rsidP="005620C3">
      <w:pPr>
        <w:ind w:firstLineChars="100" w:firstLine="240"/>
        <w:rPr>
          <w:rFonts w:ascii="Times New Roman" w:hAnsi="Times New Roman" w:hint="eastAsia"/>
          <w:sz w:val="24"/>
        </w:rPr>
      </w:pPr>
      <w:r>
        <w:rPr>
          <w:rFonts w:ascii="Times New Roman" w:hAnsi="Times New Roman" w:hint="eastAsia"/>
          <w:sz w:val="24"/>
        </w:rPr>
        <w:t xml:space="preserve">  </w:t>
      </w:r>
      <w:r w:rsidRPr="005620C3">
        <w:rPr>
          <w:rFonts w:ascii="Times New Roman" w:hAnsi="Times New Roman"/>
          <w:sz w:val="24"/>
        </w:rPr>
        <w:t>The first rule to obey in the process of translation is the purpose of an overall translational action, which can also be interpreted as “</w:t>
      </w:r>
      <w:r>
        <w:rPr>
          <w:rFonts w:ascii="Times New Roman" w:hAnsi="Times New Roman"/>
          <w:sz w:val="24"/>
        </w:rPr>
        <w:t>the end justifies the means”.  </w:t>
      </w:r>
    </w:p>
    <w:p w:rsidR="005620C3" w:rsidRPr="005620C3" w:rsidRDefault="005620C3" w:rsidP="005620C3">
      <w:pPr>
        <w:ind w:firstLineChars="200" w:firstLine="480"/>
        <w:rPr>
          <w:rFonts w:ascii="Times New Roman" w:hAnsi="Times New Roman"/>
          <w:sz w:val="24"/>
        </w:rPr>
      </w:pPr>
      <w:r w:rsidRPr="005620C3">
        <w:rPr>
          <w:rFonts w:ascii="Times New Roman" w:hAnsi="Times New Roman"/>
          <w:sz w:val="24"/>
        </w:rPr>
        <w:t>As defined by Vermeer and translated by Nord, the Skopos rule states: each text is produced for a given purpose and should serve this purpose.</w:t>
      </w:r>
    </w:p>
    <w:p w:rsidR="005620C3" w:rsidRDefault="005620C3">
      <w:pPr>
        <w:rPr>
          <w:rFonts w:ascii="Times New Roman" w:hAnsi="Times New Roman" w:hint="eastAsia"/>
          <w:b/>
          <w:bCs/>
          <w:sz w:val="24"/>
        </w:rPr>
      </w:pPr>
      <w:r>
        <w:rPr>
          <w:rFonts w:ascii="Times New Roman" w:hAnsi="Times New Roman" w:hint="eastAsia"/>
          <w:b/>
          <w:bCs/>
          <w:sz w:val="24"/>
        </w:rPr>
        <w:t xml:space="preserve">  1.2.2 The Coherence rule</w:t>
      </w:r>
    </w:p>
    <w:p w:rsidR="005620C3" w:rsidRPr="005620C3" w:rsidRDefault="005620C3" w:rsidP="005620C3">
      <w:pPr>
        <w:ind w:firstLineChars="200" w:firstLine="480"/>
        <w:rPr>
          <w:rFonts w:ascii="Times New Roman" w:hAnsi="Times New Roman"/>
          <w:sz w:val="24"/>
        </w:rPr>
      </w:pPr>
      <w:r w:rsidRPr="005620C3">
        <w:rPr>
          <w:rFonts w:ascii="Times New Roman" w:hAnsi="Times New Roman"/>
          <w:sz w:val="24"/>
        </w:rPr>
        <w:t xml:space="preserve">This is a further principle, also known as the “inter-textual coherence” by Reiss and Vermeer in 1984. </w:t>
      </w:r>
    </w:p>
    <w:p w:rsidR="005620C3" w:rsidRPr="005620C3" w:rsidRDefault="005620C3" w:rsidP="005620C3">
      <w:pPr>
        <w:ind w:firstLineChars="200" w:firstLine="480"/>
        <w:rPr>
          <w:rFonts w:ascii="Times New Roman" w:hAnsi="Times New Roman"/>
          <w:sz w:val="24"/>
        </w:rPr>
      </w:pPr>
      <w:r w:rsidRPr="005620C3">
        <w:rPr>
          <w:rFonts w:ascii="Times New Roman" w:hAnsi="Times New Roman"/>
          <w:sz w:val="24"/>
        </w:rPr>
        <w:t>The fidelity rule states that there must be coherence between the translate</w:t>
      </w:r>
      <w:r>
        <w:rPr>
          <w:rFonts w:ascii="Times New Roman" w:hAnsi="Times New Roman"/>
          <w:sz w:val="24"/>
        </w:rPr>
        <w:t xml:space="preserve">d version and the source text. </w:t>
      </w:r>
    </w:p>
    <w:p w:rsidR="005620C3" w:rsidRPr="005620C3" w:rsidRDefault="005620C3" w:rsidP="005620C3">
      <w:pPr>
        <w:ind w:firstLineChars="200" w:firstLine="480"/>
        <w:rPr>
          <w:rFonts w:ascii="Times New Roman" w:hAnsi="Times New Roman"/>
          <w:sz w:val="24"/>
        </w:rPr>
      </w:pPr>
      <w:r>
        <w:rPr>
          <w:rFonts w:ascii="Times New Roman" w:hAnsi="Times New Roman"/>
          <w:sz w:val="24"/>
        </w:rPr>
        <w:t>Attention!</w:t>
      </w:r>
    </w:p>
    <w:p w:rsidR="005620C3" w:rsidRPr="005620C3" w:rsidRDefault="005620C3" w:rsidP="005620C3">
      <w:pPr>
        <w:ind w:firstLineChars="200" w:firstLine="480"/>
        <w:rPr>
          <w:rFonts w:ascii="Times New Roman" w:hAnsi="Times New Roman"/>
          <w:sz w:val="24"/>
        </w:rPr>
      </w:pPr>
      <w:r w:rsidRPr="005620C3">
        <w:rPr>
          <w:rFonts w:ascii="Times New Roman" w:hAnsi="Times New Roman"/>
          <w:sz w:val="24"/>
        </w:rPr>
        <w:t>While this rule is highly similar to the ‘faithfulness’ aspect in previous equivalence translation theories, it is different from ‘faithfulness’. </w:t>
      </w:r>
    </w:p>
    <w:p w:rsidR="005620C3" w:rsidRPr="005620C3" w:rsidRDefault="005620C3" w:rsidP="005620C3">
      <w:pPr>
        <w:ind w:firstLineChars="100" w:firstLine="240"/>
        <w:rPr>
          <w:rFonts w:ascii="Times New Roman" w:hAnsi="Times New Roman" w:hint="eastAsia"/>
          <w:sz w:val="24"/>
        </w:rPr>
      </w:pPr>
      <w:r w:rsidRPr="005620C3">
        <w:rPr>
          <w:rFonts w:ascii="Times New Roman" w:hAnsi="Times New Roman" w:hint="eastAsia"/>
          <w:sz w:val="24"/>
        </w:rPr>
        <w:t>‘</w:t>
      </w:r>
      <w:r w:rsidRPr="005620C3">
        <w:rPr>
          <w:rFonts w:ascii="Times New Roman" w:hAnsi="Times New Roman"/>
          <w:sz w:val="24"/>
        </w:rPr>
        <w:t>faithfulness’ is static and unchanging, it necessitates the maximum equivalence possible. While ‘fidelity’ is dynamic; the extent of faithfulness depends on the purpose of the text and the understanding of the source text by the translator.</w:t>
      </w:r>
    </w:p>
    <w:p w:rsidR="005620C3" w:rsidRDefault="005620C3">
      <w:pPr>
        <w:rPr>
          <w:rFonts w:ascii="Times New Roman" w:hAnsi="Times New Roman" w:hint="eastAsia"/>
          <w:b/>
          <w:bCs/>
          <w:sz w:val="24"/>
        </w:rPr>
      </w:pPr>
      <w:r>
        <w:rPr>
          <w:rFonts w:ascii="Times New Roman" w:hAnsi="Times New Roman" w:hint="eastAsia"/>
          <w:b/>
          <w:bCs/>
          <w:sz w:val="24"/>
        </w:rPr>
        <w:t xml:space="preserve">  1.2.3 The Fidelity rule</w:t>
      </w:r>
    </w:p>
    <w:p w:rsidR="005620C3" w:rsidRPr="005620C3" w:rsidRDefault="005620C3" w:rsidP="005620C3">
      <w:pPr>
        <w:ind w:firstLineChars="200" w:firstLine="480"/>
        <w:rPr>
          <w:rFonts w:ascii="Times New Roman" w:hAnsi="Times New Roman"/>
          <w:sz w:val="24"/>
        </w:rPr>
      </w:pPr>
      <w:r w:rsidRPr="005620C3">
        <w:rPr>
          <w:rFonts w:ascii="Times New Roman" w:hAnsi="Times New Roman"/>
          <w:sz w:val="24"/>
        </w:rPr>
        <w:t xml:space="preserve">The second rule, the Coherence rule, imposes on translators the requirement that any target text should make sense according to the target culture of the target language so that the receivers can make sense of it.  </w:t>
      </w:r>
    </w:p>
    <w:p w:rsidR="005620C3" w:rsidRDefault="005620C3" w:rsidP="005620C3">
      <w:pPr>
        <w:ind w:firstLineChars="200" w:firstLine="480"/>
        <w:rPr>
          <w:rFonts w:ascii="Times New Roman" w:hAnsi="Times New Roman" w:hint="eastAsia"/>
          <w:sz w:val="24"/>
        </w:rPr>
      </w:pPr>
      <w:r w:rsidRPr="005620C3">
        <w:rPr>
          <w:rFonts w:ascii="Times New Roman" w:hAnsi="Times New Roman"/>
          <w:sz w:val="24"/>
        </w:rPr>
        <w:lastRenderedPageBreak/>
        <w:t>As quoted from Nord, this rule states: a translation should be acceptable in a sense that it is coherent with the receivers’ situation. </w:t>
      </w:r>
    </w:p>
    <w:p w:rsidR="0035414B" w:rsidRPr="005620C3" w:rsidRDefault="0035414B" w:rsidP="005620C3">
      <w:pPr>
        <w:ind w:firstLineChars="200" w:firstLine="480"/>
        <w:rPr>
          <w:rFonts w:ascii="Times New Roman" w:hAnsi="Times New Roman" w:hint="eastAsia"/>
          <w:sz w:val="24"/>
        </w:rPr>
      </w:pPr>
    </w:p>
    <w:p w:rsidR="00CC7BF2" w:rsidRDefault="0045159B">
      <w:pPr>
        <w:rPr>
          <w:rFonts w:ascii="Times New Roman" w:hAnsi="Times New Roman"/>
          <w:b/>
          <w:bCs/>
          <w:sz w:val="24"/>
        </w:rPr>
      </w:pPr>
      <w:r>
        <w:rPr>
          <w:rFonts w:ascii="Times New Roman" w:hAnsi="Times New Roman"/>
          <w:b/>
          <w:bCs/>
          <w:sz w:val="24"/>
        </w:rPr>
        <w:t>2.</w:t>
      </w:r>
      <w:r>
        <w:rPr>
          <w:rFonts w:ascii="Times New Roman" w:hAnsi="Times New Roman"/>
          <w:sz w:val="24"/>
        </w:rPr>
        <w:t xml:space="preserve"> </w:t>
      </w:r>
      <w:r w:rsidR="005620C3" w:rsidRPr="005620C3">
        <w:rPr>
          <w:rFonts w:ascii="Times New Roman" w:hAnsi="Times New Roman"/>
          <w:b/>
          <w:bCs/>
          <w:sz w:val="24"/>
        </w:rPr>
        <w:t>Application</w:t>
      </w:r>
      <w:r>
        <w:rPr>
          <w:rFonts w:ascii="Times New Roman" w:hAnsi="Times New Roman"/>
          <w:b/>
          <w:bCs/>
          <w:sz w:val="24"/>
        </w:rPr>
        <w:t xml:space="preserve"> </w:t>
      </w:r>
    </w:p>
    <w:p w:rsidR="005620C3" w:rsidRPr="005620C3" w:rsidRDefault="005620C3" w:rsidP="005620C3">
      <w:pPr>
        <w:ind w:firstLineChars="100" w:firstLine="240"/>
        <w:rPr>
          <w:rFonts w:ascii="Times New Roman" w:hAnsi="Times New Roman" w:hint="eastAsia"/>
          <w:sz w:val="24"/>
        </w:rPr>
      </w:pPr>
      <w:r w:rsidRPr="005620C3">
        <w:rPr>
          <w:rFonts w:ascii="Times New Roman" w:hAnsi="Times New Roman" w:hint="eastAsia"/>
          <w:sz w:val="24"/>
        </w:rPr>
        <w:t>旅游翻译（尤其是营销、推广性质的翻译）有很强的针对性和目的性，翻译要求能直接达到预期的反映，为达到此目的，删减和改</w:t>
      </w:r>
      <w:proofErr w:type="gramStart"/>
      <w:r w:rsidRPr="005620C3">
        <w:rPr>
          <w:rFonts w:ascii="Times New Roman" w:hAnsi="Times New Roman" w:hint="eastAsia"/>
          <w:sz w:val="24"/>
        </w:rPr>
        <w:t>译及其</w:t>
      </w:r>
      <w:proofErr w:type="gramEnd"/>
      <w:r w:rsidRPr="005620C3">
        <w:rPr>
          <w:rFonts w:ascii="Times New Roman" w:hAnsi="Times New Roman" w:hint="eastAsia"/>
          <w:sz w:val="24"/>
        </w:rPr>
        <w:t>常见。</w:t>
      </w:r>
    </w:p>
    <w:p w:rsidR="005620C3" w:rsidRPr="005620C3" w:rsidRDefault="005620C3" w:rsidP="005620C3">
      <w:pPr>
        <w:ind w:firstLineChars="100" w:firstLine="240"/>
        <w:rPr>
          <w:rFonts w:ascii="Times New Roman" w:hAnsi="Times New Roman" w:hint="eastAsia"/>
          <w:sz w:val="24"/>
        </w:rPr>
      </w:pPr>
      <w:r w:rsidRPr="005620C3">
        <w:rPr>
          <w:rFonts w:ascii="Times New Roman" w:hAnsi="Times New Roman" w:hint="eastAsia"/>
          <w:sz w:val="24"/>
        </w:rPr>
        <w:t>如：这里三千奇峰拔地而起，形态各异，有的似玉柱神鞭，立地顶天；有的像铜墙铁壁，巍然而立；有的如晃板垒卵，摇摇欲坠；有的如盆景古董，玲珑剔透……神奇而真实，迷离又实在，不是艺术创造胜似艺术创造，令人叹为观止。</w:t>
      </w:r>
    </w:p>
    <w:p w:rsidR="005620C3" w:rsidRPr="005620C3" w:rsidRDefault="005620C3" w:rsidP="005620C3">
      <w:pPr>
        <w:ind w:firstLineChars="100" w:firstLine="240"/>
        <w:rPr>
          <w:rFonts w:ascii="Times New Roman" w:hAnsi="Times New Roman"/>
          <w:sz w:val="24"/>
        </w:rPr>
      </w:pPr>
      <w:r w:rsidRPr="005620C3">
        <w:rPr>
          <w:rFonts w:ascii="Times New Roman" w:hAnsi="Times New Roman"/>
          <w:sz w:val="24"/>
        </w:rPr>
        <w:t xml:space="preserve">3000 crags rise in various shapes-----pillars, columns, walls, shaky egg stacks and </w:t>
      </w:r>
      <w:r w:rsidR="0035414B" w:rsidRPr="005620C3">
        <w:rPr>
          <w:rFonts w:ascii="Times New Roman" w:hAnsi="Times New Roman"/>
          <w:sz w:val="24"/>
        </w:rPr>
        <w:t>potted landscapes</w:t>
      </w:r>
      <w:r w:rsidRPr="005620C3">
        <w:rPr>
          <w:rFonts w:ascii="Times New Roman" w:hAnsi="Times New Roman"/>
          <w:sz w:val="24"/>
        </w:rPr>
        <w:t>—conjuring up fantastic and unforgettable images.</w:t>
      </w:r>
    </w:p>
    <w:p w:rsidR="0035414B" w:rsidRDefault="005620C3" w:rsidP="005620C3">
      <w:pPr>
        <w:ind w:firstLineChars="100" w:firstLine="240"/>
        <w:rPr>
          <w:rFonts w:ascii="Times New Roman" w:hAnsi="Times New Roman" w:hint="eastAsia"/>
          <w:sz w:val="24"/>
        </w:rPr>
      </w:pPr>
      <w:r w:rsidRPr="005620C3">
        <w:rPr>
          <w:rFonts w:ascii="Times New Roman" w:hAnsi="Times New Roman" w:hint="eastAsia"/>
          <w:sz w:val="24"/>
        </w:rPr>
        <w:t>译文着眼于预期功能，摒弃了汉语的行文形式，删减掉有</w:t>
      </w:r>
      <w:proofErr w:type="gramStart"/>
      <w:r w:rsidRPr="005620C3">
        <w:rPr>
          <w:rFonts w:ascii="Times New Roman" w:hAnsi="Times New Roman" w:hint="eastAsia"/>
          <w:sz w:val="24"/>
        </w:rPr>
        <w:t>悖</w:t>
      </w:r>
      <w:proofErr w:type="gramEnd"/>
      <w:r w:rsidRPr="005620C3">
        <w:rPr>
          <w:rFonts w:ascii="Times New Roman" w:hAnsi="Times New Roman" w:hint="eastAsia"/>
          <w:sz w:val="24"/>
        </w:rPr>
        <w:t>英语读者阅读习惯的内容，采取符合读者习惯的表达方式，有效地传达出了原作意图。</w:t>
      </w:r>
    </w:p>
    <w:p w:rsidR="0035414B" w:rsidRDefault="0035414B">
      <w:pPr>
        <w:rPr>
          <w:rFonts w:ascii="Times New Roman" w:hAnsi="Times New Roman" w:hint="eastAsia"/>
          <w:b/>
          <w:bCs/>
          <w:sz w:val="24"/>
        </w:rPr>
      </w:pPr>
    </w:p>
    <w:p w:rsidR="00CC7BF2" w:rsidRDefault="0045159B">
      <w:pPr>
        <w:rPr>
          <w:rFonts w:ascii="Times New Roman" w:hAnsi="Times New Roman"/>
          <w:b/>
          <w:bCs/>
          <w:sz w:val="24"/>
        </w:rPr>
      </w:pPr>
      <w:r>
        <w:rPr>
          <w:rFonts w:ascii="Times New Roman" w:hAnsi="Times New Roman"/>
          <w:b/>
          <w:bCs/>
          <w:sz w:val="24"/>
        </w:rPr>
        <w:t xml:space="preserve">3. </w:t>
      </w:r>
      <w:r w:rsidR="0035414B" w:rsidRPr="0035414B">
        <w:rPr>
          <w:rFonts w:ascii="Times New Roman" w:hAnsi="Times New Roman"/>
          <w:b/>
          <w:bCs/>
          <w:sz w:val="24"/>
        </w:rPr>
        <w:t>Merits and criticisms</w:t>
      </w:r>
      <w:r>
        <w:rPr>
          <w:rFonts w:ascii="Times New Roman" w:hAnsi="Times New Roman"/>
          <w:b/>
          <w:bCs/>
          <w:sz w:val="24"/>
        </w:rPr>
        <w:t xml:space="preserve"> </w:t>
      </w:r>
    </w:p>
    <w:p w:rsidR="00CC7BF2" w:rsidRDefault="0035414B" w:rsidP="0035414B">
      <w:pPr>
        <w:ind w:firstLineChars="100" w:firstLine="241"/>
        <w:rPr>
          <w:rFonts w:ascii="Times New Roman" w:hAnsi="Times New Roman"/>
          <w:b/>
          <w:bCs/>
          <w:sz w:val="24"/>
        </w:rPr>
      </w:pPr>
      <w:r>
        <w:rPr>
          <w:rFonts w:ascii="Times New Roman" w:hAnsi="Times New Roman" w:hint="eastAsia"/>
          <w:b/>
          <w:bCs/>
          <w:sz w:val="24"/>
        </w:rPr>
        <w:t>3</w:t>
      </w:r>
      <w:r>
        <w:rPr>
          <w:rFonts w:ascii="Times New Roman" w:hAnsi="Times New Roman"/>
          <w:b/>
          <w:bCs/>
          <w:sz w:val="24"/>
        </w:rPr>
        <w:t>.</w:t>
      </w:r>
      <w:r>
        <w:rPr>
          <w:rFonts w:ascii="Times New Roman" w:hAnsi="Times New Roman" w:hint="eastAsia"/>
          <w:b/>
          <w:bCs/>
          <w:sz w:val="24"/>
        </w:rPr>
        <w:t>1</w:t>
      </w:r>
      <w:r>
        <w:rPr>
          <w:rFonts w:ascii="Times New Roman" w:hAnsi="Times New Roman"/>
          <w:b/>
          <w:bCs/>
          <w:sz w:val="24"/>
        </w:rPr>
        <w:t xml:space="preserve"> </w:t>
      </w:r>
      <w:r>
        <w:rPr>
          <w:rFonts w:ascii="Times New Roman" w:hAnsi="Times New Roman" w:hint="eastAsia"/>
          <w:b/>
          <w:bCs/>
          <w:sz w:val="24"/>
        </w:rPr>
        <w:t>Merits</w:t>
      </w:r>
    </w:p>
    <w:p w:rsidR="0035414B" w:rsidRPr="0035414B" w:rsidRDefault="0035414B" w:rsidP="0035414B">
      <w:pPr>
        <w:ind w:firstLineChars="200" w:firstLine="480"/>
        <w:rPr>
          <w:rFonts w:ascii="Times New Roman" w:hAnsi="Times New Roman"/>
          <w:sz w:val="24"/>
        </w:rPr>
      </w:pPr>
      <w:r w:rsidRPr="0035414B">
        <w:rPr>
          <w:rFonts w:ascii="Times New Roman" w:hAnsi="Times New Roman"/>
          <w:sz w:val="24"/>
        </w:rPr>
        <w:t>Streamlining the complications derived from translators and clients</w:t>
      </w:r>
    </w:p>
    <w:p w:rsidR="0035414B" w:rsidRPr="0035414B" w:rsidRDefault="0035414B" w:rsidP="0035414B">
      <w:pPr>
        <w:ind w:firstLineChars="200" w:firstLine="480"/>
        <w:rPr>
          <w:rFonts w:ascii="Times New Roman" w:hAnsi="Times New Roman"/>
          <w:sz w:val="24"/>
        </w:rPr>
      </w:pPr>
      <w:r w:rsidRPr="0035414B">
        <w:rPr>
          <w:rFonts w:ascii="Times New Roman" w:hAnsi="Times New Roman"/>
          <w:sz w:val="24"/>
        </w:rPr>
        <w:t>Providing translators with an explicit guideline discussed with the client</w:t>
      </w:r>
    </w:p>
    <w:p w:rsidR="0035414B" w:rsidRPr="0035414B" w:rsidRDefault="0035414B" w:rsidP="0035414B">
      <w:pPr>
        <w:ind w:firstLineChars="200" w:firstLine="480"/>
        <w:rPr>
          <w:rFonts w:ascii="Times New Roman" w:hAnsi="Times New Roman"/>
          <w:sz w:val="24"/>
        </w:rPr>
      </w:pPr>
      <w:r w:rsidRPr="0035414B">
        <w:rPr>
          <w:rFonts w:ascii="Times New Roman" w:hAnsi="Times New Roman"/>
          <w:sz w:val="24"/>
        </w:rPr>
        <w:t>Establishing new statuses of the source and target text</w:t>
      </w:r>
    </w:p>
    <w:p w:rsidR="00CC7BF2" w:rsidRDefault="0035414B" w:rsidP="0035414B">
      <w:pPr>
        <w:ind w:firstLineChars="200" w:firstLine="480"/>
        <w:rPr>
          <w:rFonts w:ascii="Times New Roman" w:hAnsi="Times New Roman" w:hint="eastAsia"/>
          <w:sz w:val="24"/>
        </w:rPr>
      </w:pPr>
      <w:r w:rsidRPr="0035414B">
        <w:rPr>
          <w:rFonts w:ascii="Times New Roman" w:hAnsi="Times New Roman"/>
          <w:sz w:val="24"/>
        </w:rPr>
        <w:t>Promoting innovations</w:t>
      </w:r>
      <w:r w:rsidR="0045159B" w:rsidRPr="0035414B">
        <w:rPr>
          <w:rFonts w:ascii="Times New Roman" w:hAnsi="Times New Roman"/>
          <w:sz w:val="24"/>
        </w:rPr>
        <w:t>4.2 Advantages</w:t>
      </w:r>
    </w:p>
    <w:p w:rsidR="0035414B" w:rsidRPr="0035414B" w:rsidRDefault="0035414B" w:rsidP="0035414B">
      <w:pPr>
        <w:ind w:firstLineChars="200" w:firstLine="480"/>
        <w:rPr>
          <w:rFonts w:ascii="Times New Roman" w:hAnsi="Times New Roman"/>
          <w:sz w:val="24"/>
        </w:rPr>
      </w:pPr>
    </w:p>
    <w:p w:rsidR="00CC7BF2" w:rsidRDefault="0035414B" w:rsidP="0035414B">
      <w:pPr>
        <w:ind w:firstLineChars="100" w:firstLine="241"/>
        <w:rPr>
          <w:rFonts w:ascii="Times New Roman" w:hAnsi="Times New Roman"/>
          <w:sz w:val="24"/>
        </w:rPr>
      </w:pPr>
      <w:r>
        <w:rPr>
          <w:rFonts w:ascii="Times New Roman" w:hAnsi="Times New Roman" w:hint="eastAsia"/>
          <w:b/>
          <w:bCs/>
          <w:sz w:val="24"/>
        </w:rPr>
        <w:t>3.2 Criticisms</w:t>
      </w:r>
    </w:p>
    <w:p w:rsidR="0035414B" w:rsidRPr="0035414B" w:rsidRDefault="0035414B" w:rsidP="0035414B">
      <w:pPr>
        <w:ind w:leftChars="100" w:left="210" w:firstLineChars="100" w:firstLine="240"/>
        <w:rPr>
          <w:rFonts w:ascii="Times New Roman" w:hAnsi="Times New Roman"/>
          <w:sz w:val="24"/>
        </w:rPr>
      </w:pPr>
      <w:r w:rsidRPr="0035414B">
        <w:rPr>
          <w:rFonts w:ascii="Times New Roman" w:hAnsi="Times New Roman"/>
          <w:sz w:val="24"/>
        </w:rPr>
        <w:t>Posing additional pressure and responsibilities on the translator to seek an adequate translation strategy</w:t>
      </w:r>
    </w:p>
    <w:p w:rsidR="0035414B" w:rsidRPr="0035414B" w:rsidRDefault="0035414B" w:rsidP="0035414B">
      <w:pPr>
        <w:ind w:leftChars="100" w:left="210" w:firstLineChars="100" w:firstLine="240"/>
        <w:rPr>
          <w:rFonts w:ascii="Times New Roman" w:hAnsi="Times New Roman"/>
          <w:sz w:val="24"/>
        </w:rPr>
      </w:pPr>
      <w:r w:rsidRPr="0035414B">
        <w:rPr>
          <w:rFonts w:ascii="Times New Roman" w:hAnsi="Times New Roman"/>
          <w:sz w:val="24"/>
        </w:rPr>
        <w:t>Oversimplifying the linguistic situation of a text and thus posing some difficulty in surveying contexts comprehensively</w:t>
      </w:r>
    </w:p>
    <w:p w:rsidR="00CC7BF2" w:rsidRPr="0035414B" w:rsidRDefault="0035414B" w:rsidP="0035414B">
      <w:pPr>
        <w:ind w:firstLineChars="200" w:firstLine="480"/>
        <w:rPr>
          <w:rFonts w:ascii="Times New Roman" w:hAnsi="Times New Roman"/>
          <w:sz w:val="24"/>
        </w:rPr>
      </w:pPr>
      <w:r w:rsidRPr="0035414B">
        <w:rPr>
          <w:rFonts w:ascii="Times New Roman" w:hAnsi="Times New Roman"/>
          <w:sz w:val="24"/>
        </w:rPr>
        <w:t>Bringing about inconsistences</w:t>
      </w:r>
    </w:p>
    <w:p w:rsidR="00CC7BF2" w:rsidRDefault="00CC7BF2" w:rsidP="0035414B">
      <w:pPr>
        <w:ind w:firstLineChars="100" w:firstLine="241"/>
        <w:rPr>
          <w:rFonts w:ascii="Times New Roman" w:hAnsi="Times New Roman"/>
          <w:b/>
          <w:bCs/>
          <w:sz w:val="24"/>
        </w:rPr>
      </w:pPr>
    </w:p>
    <w:p w:rsidR="00CC7BF2" w:rsidRDefault="0045159B">
      <w:pPr>
        <w:rPr>
          <w:rFonts w:ascii="Times New Roman" w:hAnsi="Times New Roman"/>
          <w:sz w:val="24"/>
        </w:rPr>
      </w:pPr>
      <w:r>
        <w:rPr>
          <w:rFonts w:ascii="Times New Roman" w:hAnsi="Times New Roman"/>
          <w:b/>
          <w:bCs/>
          <w:sz w:val="24"/>
        </w:rPr>
        <w:t>Reference</w:t>
      </w:r>
    </w:p>
    <w:p w:rsidR="0035414B" w:rsidRPr="0035414B" w:rsidRDefault="0035414B" w:rsidP="0035414B">
      <w:pPr>
        <w:spacing w:line="280" w:lineRule="atLeast"/>
        <w:ind w:left="315" w:hangingChars="150" w:hanging="315"/>
        <w:rPr>
          <w:rFonts w:ascii="Times New Roman" w:hAnsi="Times New Roman"/>
          <w:color w:val="000000"/>
          <w:szCs w:val="21"/>
        </w:rPr>
      </w:pPr>
      <w:r w:rsidRPr="0035414B">
        <w:rPr>
          <w:rFonts w:ascii="Times New Roman" w:hAnsi="Times New Roman"/>
          <w:color w:val="000000"/>
          <w:szCs w:val="21"/>
        </w:rPr>
        <w:t>[1]Nida, E</w:t>
      </w:r>
      <w:r w:rsidRPr="0035414B">
        <w:rPr>
          <w:rFonts w:ascii="Times New Roman" w:hAnsi="Times New Roman"/>
          <w:bCs/>
          <w:color w:val="000000"/>
          <w:szCs w:val="21"/>
        </w:rPr>
        <w:t>.</w:t>
      </w:r>
      <w:r w:rsidRPr="0035414B">
        <w:rPr>
          <w:rFonts w:ascii="Times New Roman" w:hAnsi="Times New Roman"/>
          <w:color w:val="000000"/>
          <w:szCs w:val="21"/>
        </w:rPr>
        <w:t>A</w:t>
      </w:r>
      <w:r w:rsidRPr="0035414B">
        <w:rPr>
          <w:rFonts w:ascii="Times New Roman" w:hAnsi="Times New Roman"/>
          <w:bCs/>
          <w:color w:val="000000"/>
          <w:szCs w:val="21"/>
        </w:rPr>
        <w:t>.</w:t>
      </w:r>
      <w:r w:rsidRPr="0035414B">
        <w:rPr>
          <w:rFonts w:ascii="Times New Roman" w:hAnsi="Times New Roman"/>
          <w:color w:val="000000"/>
          <w:szCs w:val="21"/>
        </w:rPr>
        <w:t xml:space="preserve"> The Theory and Practice of </w:t>
      </w:r>
      <w:proofErr w:type="gramStart"/>
      <w:r w:rsidRPr="0035414B">
        <w:rPr>
          <w:rFonts w:ascii="Times New Roman" w:hAnsi="Times New Roman"/>
          <w:color w:val="000000"/>
          <w:szCs w:val="21"/>
        </w:rPr>
        <w:t>Translation[</w:t>
      </w:r>
      <w:proofErr w:type="gramEnd"/>
      <w:r w:rsidRPr="0035414B">
        <w:rPr>
          <w:rFonts w:ascii="Times New Roman" w:hAnsi="Times New Roman"/>
          <w:color w:val="000000"/>
          <w:szCs w:val="21"/>
        </w:rPr>
        <w:t>M]</w:t>
      </w:r>
      <w:r w:rsidRPr="0035414B">
        <w:rPr>
          <w:rFonts w:ascii="Times New Roman" w:hAnsi="Times New Roman"/>
          <w:bCs/>
          <w:color w:val="000000"/>
          <w:szCs w:val="21"/>
        </w:rPr>
        <w:t>.</w:t>
      </w:r>
      <w:r w:rsidRPr="0035414B">
        <w:rPr>
          <w:rFonts w:ascii="Times New Roman" w:hAnsi="Times New Roman"/>
          <w:color w:val="000000"/>
          <w:szCs w:val="21"/>
        </w:rPr>
        <w:t xml:space="preserve"> Shanghai: Shanghai Foreign Language Education Press, 2004</w:t>
      </w:r>
      <w:r w:rsidRPr="0035414B">
        <w:rPr>
          <w:rFonts w:ascii="Times New Roman" w:hAnsi="Times New Roman"/>
          <w:bCs/>
          <w:color w:val="000000"/>
          <w:szCs w:val="21"/>
        </w:rPr>
        <w:t>.</w:t>
      </w:r>
    </w:p>
    <w:p w:rsidR="0035414B" w:rsidRPr="0035414B" w:rsidRDefault="0035414B" w:rsidP="0035414B">
      <w:pPr>
        <w:spacing w:line="280" w:lineRule="atLeast"/>
        <w:ind w:left="315" w:hangingChars="150" w:hanging="315"/>
        <w:rPr>
          <w:rFonts w:ascii="Times New Roman" w:hAnsi="Times New Roman"/>
          <w:color w:val="000000"/>
          <w:szCs w:val="21"/>
        </w:rPr>
      </w:pPr>
      <w:r w:rsidRPr="0035414B">
        <w:rPr>
          <w:rFonts w:ascii="Times New Roman" w:hAnsi="Times New Roman"/>
          <w:color w:val="000000"/>
          <w:szCs w:val="21"/>
        </w:rPr>
        <w:t>[2]Nord</w:t>
      </w:r>
      <w:r w:rsidRPr="0035414B">
        <w:rPr>
          <w:rFonts w:ascii="Times New Roman" w:hAnsi="Times New Roman" w:hint="eastAsia"/>
          <w:color w:val="000000"/>
          <w:szCs w:val="21"/>
        </w:rPr>
        <w:t xml:space="preserve">, </w:t>
      </w:r>
      <w:r w:rsidRPr="0035414B">
        <w:rPr>
          <w:rFonts w:ascii="Times New Roman" w:hAnsi="Times New Roman"/>
          <w:color w:val="000000"/>
          <w:szCs w:val="21"/>
        </w:rPr>
        <w:t>Christiane</w:t>
      </w:r>
      <w:r w:rsidRPr="0035414B">
        <w:rPr>
          <w:rFonts w:ascii="Times New Roman" w:hAnsi="Times New Roman" w:hint="eastAsia"/>
          <w:bCs/>
          <w:color w:val="000000"/>
          <w:szCs w:val="21"/>
        </w:rPr>
        <w:t>.</w:t>
      </w:r>
      <w:r w:rsidRPr="0035414B">
        <w:rPr>
          <w:rFonts w:ascii="Times New Roman" w:hAnsi="Times New Roman" w:hint="eastAsia"/>
          <w:color w:val="000000"/>
          <w:szCs w:val="21"/>
        </w:rPr>
        <w:t xml:space="preserve"> </w:t>
      </w:r>
      <w:r w:rsidRPr="0035414B">
        <w:rPr>
          <w:rFonts w:ascii="Times New Roman" w:hAnsi="Times New Roman"/>
          <w:color w:val="000000"/>
          <w:szCs w:val="21"/>
        </w:rPr>
        <w:t>Skopos,</w:t>
      </w:r>
      <w:r w:rsidRPr="0035414B">
        <w:rPr>
          <w:rFonts w:ascii="Times New Roman" w:hAnsi="Times New Roman" w:hint="eastAsia"/>
          <w:color w:val="000000"/>
          <w:szCs w:val="21"/>
        </w:rPr>
        <w:t xml:space="preserve"> </w:t>
      </w:r>
      <w:r w:rsidRPr="0035414B">
        <w:rPr>
          <w:rFonts w:ascii="Times New Roman" w:hAnsi="Times New Roman"/>
          <w:color w:val="000000"/>
          <w:szCs w:val="21"/>
        </w:rPr>
        <w:t>Loyalty,</w:t>
      </w:r>
      <w:r w:rsidRPr="0035414B">
        <w:rPr>
          <w:rFonts w:ascii="Times New Roman" w:hAnsi="Times New Roman" w:hint="eastAsia"/>
          <w:color w:val="000000"/>
          <w:szCs w:val="21"/>
        </w:rPr>
        <w:t xml:space="preserve"> </w:t>
      </w:r>
      <w:r w:rsidRPr="0035414B">
        <w:rPr>
          <w:rFonts w:ascii="Times New Roman" w:hAnsi="Times New Roman"/>
          <w:color w:val="000000"/>
          <w:szCs w:val="21"/>
        </w:rPr>
        <w:t xml:space="preserve">and Translation </w:t>
      </w:r>
      <w:proofErr w:type="gramStart"/>
      <w:r w:rsidRPr="0035414B">
        <w:rPr>
          <w:rFonts w:ascii="Times New Roman" w:hAnsi="Times New Roman"/>
          <w:color w:val="000000"/>
          <w:szCs w:val="21"/>
        </w:rPr>
        <w:t>Conventions[</w:t>
      </w:r>
      <w:proofErr w:type="gramEnd"/>
      <w:r w:rsidRPr="0035414B">
        <w:rPr>
          <w:rFonts w:ascii="Times New Roman" w:hAnsi="Times New Roman"/>
          <w:color w:val="000000"/>
          <w:szCs w:val="21"/>
        </w:rPr>
        <w:t>J]</w:t>
      </w:r>
      <w:r w:rsidRPr="0035414B">
        <w:rPr>
          <w:rFonts w:ascii="Times New Roman" w:hAnsi="Times New Roman"/>
          <w:bCs/>
          <w:color w:val="000000"/>
          <w:szCs w:val="21"/>
        </w:rPr>
        <w:t>.</w:t>
      </w:r>
      <w:r w:rsidRPr="0035414B">
        <w:rPr>
          <w:rFonts w:ascii="Times New Roman" w:hAnsi="Times New Roman" w:hint="eastAsia"/>
          <w:color w:val="000000"/>
          <w:szCs w:val="21"/>
        </w:rPr>
        <w:t xml:space="preserve"> </w:t>
      </w:r>
      <w:r w:rsidRPr="0035414B">
        <w:rPr>
          <w:rFonts w:ascii="Times New Roman" w:hAnsi="Times New Roman"/>
          <w:color w:val="000000"/>
          <w:szCs w:val="21"/>
        </w:rPr>
        <w:t>Amsterdam and Philadelphia: Benjamins, 1991(4)</w:t>
      </w:r>
      <w:r w:rsidRPr="0035414B">
        <w:rPr>
          <w:rFonts w:ascii="Times New Roman" w:hAnsi="Times New Roman"/>
          <w:bCs/>
          <w:color w:val="000000"/>
          <w:szCs w:val="21"/>
        </w:rPr>
        <w:t>.</w:t>
      </w:r>
    </w:p>
    <w:p w:rsidR="0035414B" w:rsidRPr="0035414B" w:rsidRDefault="0035414B" w:rsidP="0035414B">
      <w:pPr>
        <w:spacing w:line="280" w:lineRule="atLeast"/>
        <w:ind w:left="315" w:hangingChars="150" w:hanging="315"/>
        <w:rPr>
          <w:rFonts w:ascii="Times New Roman" w:hAnsi="Times New Roman"/>
          <w:color w:val="000000"/>
          <w:szCs w:val="21"/>
        </w:rPr>
      </w:pPr>
      <w:r w:rsidRPr="0035414B">
        <w:rPr>
          <w:rFonts w:ascii="Times New Roman" w:hAnsi="Times New Roman"/>
          <w:color w:val="000000"/>
          <w:szCs w:val="21"/>
        </w:rPr>
        <w:t>[3]Nord, Christiane</w:t>
      </w:r>
      <w:r w:rsidRPr="0035414B">
        <w:rPr>
          <w:rFonts w:ascii="Times New Roman" w:hAnsi="Times New Roman"/>
          <w:bCs/>
          <w:color w:val="000000"/>
          <w:szCs w:val="21"/>
        </w:rPr>
        <w:t>.</w:t>
      </w:r>
      <w:r w:rsidRPr="0035414B">
        <w:rPr>
          <w:rFonts w:ascii="Times New Roman" w:hAnsi="Times New Roman"/>
          <w:color w:val="000000"/>
          <w:szCs w:val="21"/>
        </w:rPr>
        <w:t xml:space="preserve"> Translating as a Purposeful Activity: Functionalist Approaches </w:t>
      </w:r>
      <w:proofErr w:type="gramStart"/>
      <w:r w:rsidRPr="0035414B">
        <w:rPr>
          <w:rFonts w:ascii="Times New Roman" w:hAnsi="Times New Roman"/>
          <w:color w:val="000000"/>
          <w:szCs w:val="21"/>
        </w:rPr>
        <w:t>Explained[</w:t>
      </w:r>
      <w:proofErr w:type="gramEnd"/>
      <w:r w:rsidRPr="0035414B">
        <w:rPr>
          <w:rFonts w:ascii="Times New Roman" w:hAnsi="Times New Roman"/>
          <w:color w:val="000000"/>
          <w:szCs w:val="21"/>
        </w:rPr>
        <w:t>M]</w:t>
      </w:r>
      <w:r w:rsidRPr="0035414B">
        <w:rPr>
          <w:rFonts w:ascii="Times New Roman" w:hAnsi="Times New Roman"/>
          <w:bCs/>
          <w:color w:val="000000"/>
          <w:szCs w:val="21"/>
        </w:rPr>
        <w:t>.</w:t>
      </w:r>
      <w:r w:rsidRPr="0035414B">
        <w:rPr>
          <w:rFonts w:ascii="Times New Roman" w:hAnsi="Times New Roman"/>
          <w:color w:val="000000"/>
          <w:szCs w:val="21"/>
        </w:rPr>
        <w:t xml:space="preserve"> Shanghai: Shanghai Foreign Language Education Press, 2001</w:t>
      </w:r>
      <w:r w:rsidRPr="0035414B">
        <w:rPr>
          <w:rFonts w:ascii="Times New Roman" w:hAnsi="Times New Roman"/>
          <w:bCs/>
          <w:color w:val="000000"/>
          <w:szCs w:val="21"/>
        </w:rPr>
        <w:t>.</w:t>
      </w:r>
    </w:p>
    <w:p w:rsidR="0035414B" w:rsidRPr="0035414B" w:rsidRDefault="0035414B" w:rsidP="0035414B">
      <w:pPr>
        <w:spacing w:line="280" w:lineRule="atLeast"/>
        <w:ind w:left="315" w:hangingChars="150" w:hanging="315"/>
        <w:rPr>
          <w:rFonts w:ascii="Times New Roman" w:hAnsi="Times New Roman"/>
          <w:color w:val="000000"/>
          <w:szCs w:val="21"/>
        </w:rPr>
      </w:pPr>
      <w:r w:rsidRPr="0035414B">
        <w:rPr>
          <w:rFonts w:ascii="Times New Roman" w:hAnsi="Times New Roman"/>
          <w:color w:val="000000"/>
          <w:szCs w:val="21"/>
        </w:rPr>
        <w:t>[4]Peter, Newmark</w:t>
      </w:r>
      <w:r w:rsidRPr="0035414B">
        <w:rPr>
          <w:rFonts w:ascii="Times New Roman" w:hAnsi="Times New Roman"/>
          <w:bCs/>
          <w:color w:val="000000"/>
          <w:szCs w:val="21"/>
        </w:rPr>
        <w:t>.</w:t>
      </w:r>
      <w:r w:rsidRPr="0035414B">
        <w:rPr>
          <w:rFonts w:ascii="Times New Roman" w:hAnsi="Times New Roman"/>
          <w:color w:val="000000"/>
          <w:szCs w:val="21"/>
        </w:rPr>
        <w:t xml:space="preserve"> A Textbook of </w:t>
      </w:r>
      <w:proofErr w:type="gramStart"/>
      <w:r w:rsidRPr="0035414B">
        <w:rPr>
          <w:rFonts w:ascii="Times New Roman" w:hAnsi="Times New Roman"/>
          <w:color w:val="000000"/>
          <w:szCs w:val="21"/>
        </w:rPr>
        <w:t>Translation[</w:t>
      </w:r>
      <w:proofErr w:type="gramEnd"/>
      <w:r w:rsidRPr="0035414B">
        <w:rPr>
          <w:rFonts w:ascii="Times New Roman" w:hAnsi="Times New Roman"/>
          <w:color w:val="000000"/>
          <w:szCs w:val="21"/>
        </w:rPr>
        <w:t>M]</w:t>
      </w:r>
      <w:r w:rsidRPr="0035414B">
        <w:rPr>
          <w:rFonts w:ascii="Times New Roman" w:hAnsi="Times New Roman"/>
          <w:bCs/>
          <w:color w:val="000000"/>
          <w:szCs w:val="21"/>
        </w:rPr>
        <w:t>.</w:t>
      </w:r>
      <w:r w:rsidRPr="0035414B">
        <w:rPr>
          <w:rFonts w:ascii="Times New Roman" w:hAnsi="Times New Roman"/>
          <w:color w:val="000000"/>
          <w:szCs w:val="21"/>
        </w:rPr>
        <w:t xml:space="preserve"> Shanghai: Shanghai Foreign Education Press, 2001</w:t>
      </w:r>
      <w:r w:rsidRPr="0035414B">
        <w:rPr>
          <w:rFonts w:ascii="Times New Roman" w:hAnsi="Times New Roman"/>
          <w:bCs/>
          <w:color w:val="000000"/>
          <w:szCs w:val="21"/>
        </w:rPr>
        <w:t>.</w:t>
      </w:r>
    </w:p>
    <w:p w:rsidR="0035414B" w:rsidRPr="0035414B" w:rsidRDefault="0035414B" w:rsidP="0035414B">
      <w:pPr>
        <w:spacing w:line="280" w:lineRule="atLeast"/>
        <w:ind w:left="315" w:hangingChars="150" w:hanging="315"/>
        <w:rPr>
          <w:rFonts w:ascii="Times New Roman" w:hAnsi="Times New Roman"/>
          <w:color w:val="000000"/>
          <w:szCs w:val="21"/>
        </w:rPr>
      </w:pPr>
      <w:r w:rsidRPr="0035414B">
        <w:rPr>
          <w:rFonts w:ascii="Times New Roman" w:hAnsi="Times New Roman"/>
          <w:color w:val="000000"/>
          <w:szCs w:val="21"/>
        </w:rPr>
        <w:t>[5]Reiss, Katharina and Vermeer</w:t>
      </w:r>
      <w:r w:rsidRPr="0035414B">
        <w:rPr>
          <w:rFonts w:ascii="Times New Roman" w:hAnsi="Times New Roman" w:hint="eastAsia"/>
          <w:color w:val="000000"/>
          <w:szCs w:val="21"/>
        </w:rPr>
        <w:t>,</w:t>
      </w:r>
      <w:r w:rsidRPr="0035414B">
        <w:rPr>
          <w:rFonts w:ascii="Times New Roman" w:hAnsi="Times New Roman"/>
          <w:color w:val="000000"/>
          <w:szCs w:val="21"/>
        </w:rPr>
        <w:t xml:space="preserve"> Hans J</w:t>
      </w:r>
      <w:r w:rsidRPr="0035414B">
        <w:rPr>
          <w:rFonts w:ascii="Times New Roman" w:hAnsi="Times New Roman"/>
          <w:bCs/>
          <w:color w:val="000000"/>
          <w:szCs w:val="21"/>
        </w:rPr>
        <w:t>.</w:t>
      </w:r>
      <w:r w:rsidRPr="0035414B">
        <w:rPr>
          <w:rFonts w:ascii="Times New Roman" w:hAnsi="Times New Roman"/>
          <w:color w:val="000000"/>
          <w:szCs w:val="21"/>
        </w:rPr>
        <w:t xml:space="preserve"> Groundwork for a General Theory</w:t>
      </w:r>
      <w:r w:rsidRPr="0035414B">
        <w:rPr>
          <w:rFonts w:ascii="Times New Roman" w:hAnsi="Times New Roman" w:hint="eastAsia"/>
          <w:color w:val="000000"/>
          <w:szCs w:val="21"/>
        </w:rPr>
        <w:t xml:space="preserve"> </w:t>
      </w:r>
      <w:r w:rsidRPr="0035414B">
        <w:rPr>
          <w:rFonts w:ascii="Times New Roman" w:hAnsi="Times New Roman"/>
          <w:color w:val="000000"/>
          <w:szCs w:val="21"/>
        </w:rPr>
        <w:t xml:space="preserve">of </w:t>
      </w:r>
      <w:proofErr w:type="gramStart"/>
      <w:r w:rsidRPr="0035414B">
        <w:rPr>
          <w:rFonts w:ascii="Times New Roman" w:hAnsi="Times New Roman"/>
          <w:color w:val="000000"/>
          <w:szCs w:val="21"/>
        </w:rPr>
        <w:t>Translation[</w:t>
      </w:r>
      <w:proofErr w:type="gramEnd"/>
      <w:r w:rsidRPr="0035414B">
        <w:rPr>
          <w:rFonts w:ascii="Times New Roman" w:hAnsi="Times New Roman"/>
          <w:color w:val="000000"/>
          <w:szCs w:val="21"/>
        </w:rPr>
        <w:t>M]</w:t>
      </w:r>
      <w:r w:rsidRPr="0035414B">
        <w:rPr>
          <w:rFonts w:ascii="Times New Roman" w:hAnsi="Times New Roman"/>
          <w:bCs/>
          <w:color w:val="000000"/>
          <w:szCs w:val="21"/>
        </w:rPr>
        <w:t>.</w:t>
      </w:r>
      <w:r w:rsidRPr="0035414B">
        <w:rPr>
          <w:rFonts w:ascii="Times New Roman" w:hAnsi="Times New Roman"/>
          <w:color w:val="000000"/>
          <w:szCs w:val="21"/>
        </w:rPr>
        <w:t xml:space="preserve"> Tubingen: Niemeyer, 1984</w:t>
      </w:r>
      <w:r w:rsidRPr="0035414B">
        <w:rPr>
          <w:rFonts w:ascii="Times New Roman" w:hAnsi="Times New Roman"/>
          <w:bCs/>
          <w:color w:val="000000"/>
          <w:szCs w:val="21"/>
        </w:rPr>
        <w:t>.</w:t>
      </w:r>
    </w:p>
    <w:p w:rsidR="0035414B" w:rsidRPr="0035414B" w:rsidRDefault="0035414B" w:rsidP="0035414B">
      <w:pPr>
        <w:widowControl/>
        <w:rPr>
          <w:rFonts w:ascii="宋体" w:hAnsi="宋体"/>
          <w:szCs w:val="21"/>
        </w:rPr>
      </w:pPr>
      <w:r>
        <w:rPr>
          <w:rFonts w:ascii="Times New Roman" w:hAnsi="Times New Roman"/>
          <w:szCs w:val="21"/>
        </w:rPr>
        <w:t>[</w:t>
      </w:r>
      <w:r>
        <w:rPr>
          <w:rFonts w:ascii="Times New Roman" w:hAnsi="Times New Roman" w:hint="eastAsia"/>
          <w:szCs w:val="21"/>
        </w:rPr>
        <w:t>6</w:t>
      </w:r>
      <w:r w:rsidRPr="0035414B">
        <w:rPr>
          <w:rFonts w:ascii="Times New Roman" w:hAnsi="Times New Roman"/>
          <w:szCs w:val="21"/>
        </w:rPr>
        <w:t>]</w:t>
      </w:r>
      <w:r w:rsidRPr="0035414B">
        <w:rPr>
          <w:rFonts w:ascii="宋体" w:hAnsi="宋体" w:hint="eastAsia"/>
          <w:szCs w:val="21"/>
        </w:rPr>
        <w:t>胡婷婷</w:t>
      </w:r>
      <w:r w:rsidRPr="0035414B">
        <w:rPr>
          <w:rFonts w:ascii="Times New Roman" w:hAnsi="Times New Roman"/>
          <w:szCs w:val="21"/>
        </w:rPr>
        <w:t>.</w:t>
      </w:r>
      <w:r w:rsidRPr="0035414B">
        <w:rPr>
          <w:rFonts w:ascii="宋体" w:hAnsi="宋体" w:hint="eastAsia"/>
          <w:szCs w:val="21"/>
        </w:rPr>
        <w:t xml:space="preserve"> 目的论指导下的简历英译[D]</w:t>
      </w:r>
      <w:r w:rsidRPr="0035414B">
        <w:rPr>
          <w:rFonts w:ascii="Times New Roman" w:hAnsi="Times New Roman"/>
          <w:szCs w:val="21"/>
        </w:rPr>
        <w:t>.</w:t>
      </w:r>
      <w:r w:rsidRPr="0035414B">
        <w:rPr>
          <w:rFonts w:ascii="宋体" w:hAnsi="宋体" w:hint="eastAsia"/>
          <w:szCs w:val="21"/>
        </w:rPr>
        <w:t xml:space="preserve"> 长春</w:t>
      </w:r>
      <w:r w:rsidRPr="0035414B">
        <w:rPr>
          <w:rFonts w:ascii="Times New Roman" w:hAnsi="Times New Roman"/>
          <w:szCs w:val="21"/>
        </w:rPr>
        <w:t xml:space="preserve">: </w:t>
      </w:r>
      <w:r w:rsidRPr="0035414B">
        <w:rPr>
          <w:rFonts w:ascii="宋体" w:hAnsi="宋体" w:hint="eastAsia"/>
          <w:szCs w:val="21"/>
        </w:rPr>
        <w:t>吉林财经大学</w:t>
      </w:r>
      <w:r w:rsidRPr="0035414B">
        <w:rPr>
          <w:rFonts w:ascii="Times New Roman" w:hAnsi="Times New Roman" w:hint="eastAsia"/>
          <w:szCs w:val="21"/>
        </w:rPr>
        <w:t xml:space="preserve">, </w:t>
      </w:r>
      <w:r w:rsidRPr="0035414B">
        <w:rPr>
          <w:rFonts w:ascii="宋体" w:hAnsi="宋体" w:hint="eastAsia"/>
          <w:szCs w:val="21"/>
        </w:rPr>
        <w:t>2018</w:t>
      </w:r>
      <w:r w:rsidRPr="0035414B">
        <w:rPr>
          <w:rFonts w:ascii="Times New Roman" w:hAnsi="Times New Roman"/>
          <w:szCs w:val="21"/>
        </w:rPr>
        <w:t>.</w:t>
      </w:r>
    </w:p>
    <w:p w:rsidR="0035414B" w:rsidRPr="0035414B" w:rsidRDefault="0035414B" w:rsidP="0035414B">
      <w:pPr>
        <w:widowControl/>
        <w:jc w:val="left"/>
        <w:rPr>
          <w:rFonts w:ascii="Times New Roman" w:hAnsi="Times New Roman"/>
          <w:kern w:val="0"/>
          <w:szCs w:val="21"/>
        </w:rPr>
      </w:pPr>
      <w:r>
        <w:rPr>
          <w:rFonts w:ascii="Times New Roman" w:hAnsi="Times New Roman"/>
          <w:color w:val="000000"/>
          <w:szCs w:val="21"/>
        </w:rPr>
        <w:t>[</w:t>
      </w:r>
      <w:r>
        <w:rPr>
          <w:rFonts w:ascii="Times New Roman" w:hAnsi="Times New Roman" w:hint="eastAsia"/>
          <w:color w:val="000000"/>
          <w:szCs w:val="21"/>
        </w:rPr>
        <w:t>7</w:t>
      </w:r>
      <w:r w:rsidRPr="0035414B">
        <w:rPr>
          <w:rFonts w:ascii="Times New Roman" w:hAnsi="Times New Roman"/>
          <w:color w:val="000000"/>
          <w:szCs w:val="21"/>
        </w:rPr>
        <w:t>]</w:t>
      </w:r>
      <w:proofErr w:type="gramStart"/>
      <w:r w:rsidRPr="0035414B">
        <w:rPr>
          <w:rFonts w:ascii="宋体" w:hAnsi="宋体" w:cs="宋体" w:hint="eastAsia"/>
          <w:color w:val="000000"/>
          <w:szCs w:val="21"/>
        </w:rPr>
        <w:t>连淑能</w:t>
      </w:r>
      <w:proofErr w:type="gramEnd"/>
      <w:r w:rsidRPr="0035414B">
        <w:rPr>
          <w:rFonts w:ascii="Times New Roman" w:hAnsi="Times New Roman"/>
          <w:bCs/>
          <w:color w:val="000000"/>
          <w:szCs w:val="21"/>
        </w:rPr>
        <w:t>.</w:t>
      </w:r>
      <w:r w:rsidRPr="0035414B">
        <w:rPr>
          <w:rFonts w:ascii="宋体" w:hAnsi="宋体" w:cs="宋体" w:hint="eastAsia"/>
          <w:color w:val="000000"/>
          <w:szCs w:val="21"/>
        </w:rPr>
        <w:t xml:space="preserve"> 英汉对比研究</w:t>
      </w:r>
      <w:r w:rsidRPr="0035414B">
        <w:rPr>
          <w:rFonts w:ascii="宋体" w:hAnsi="宋体" w:cs="Calibri" w:hint="eastAsia"/>
          <w:color w:val="000000"/>
          <w:szCs w:val="21"/>
        </w:rPr>
        <w:t>[M]</w:t>
      </w:r>
      <w:r w:rsidRPr="0035414B">
        <w:rPr>
          <w:rFonts w:ascii="Times New Roman" w:hAnsi="Times New Roman"/>
          <w:color w:val="000000"/>
          <w:szCs w:val="21"/>
        </w:rPr>
        <w:t>.</w:t>
      </w:r>
      <w:r w:rsidRPr="0035414B">
        <w:rPr>
          <w:rFonts w:ascii="宋体" w:hAnsi="宋体" w:cs="宋体" w:hint="eastAsia"/>
          <w:color w:val="000000"/>
          <w:szCs w:val="21"/>
        </w:rPr>
        <w:t xml:space="preserve"> 北京</w:t>
      </w:r>
      <w:r w:rsidRPr="0035414B">
        <w:rPr>
          <w:rFonts w:ascii="Times New Roman" w:hAnsi="Times New Roman"/>
          <w:color w:val="000000"/>
          <w:szCs w:val="21"/>
        </w:rPr>
        <w:t>:</w:t>
      </w:r>
      <w:r w:rsidRPr="0035414B">
        <w:rPr>
          <w:rFonts w:ascii="宋体" w:hAnsi="宋体" w:cs="宋体" w:hint="eastAsia"/>
          <w:color w:val="000000"/>
          <w:szCs w:val="21"/>
        </w:rPr>
        <w:t xml:space="preserve"> 高等教育出版社</w:t>
      </w:r>
      <w:r w:rsidRPr="0035414B">
        <w:rPr>
          <w:rFonts w:ascii="Times New Roman" w:hAnsi="Times New Roman"/>
          <w:color w:val="000000"/>
          <w:szCs w:val="21"/>
        </w:rPr>
        <w:t>,</w:t>
      </w:r>
      <w:r w:rsidRPr="0035414B">
        <w:rPr>
          <w:rFonts w:ascii="宋体" w:hAnsi="宋体" w:cs="宋体" w:hint="eastAsia"/>
          <w:color w:val="000000"/>
          <w:szCs w:val="21"/>
        </w:rPr>
        <w:t xml:space="preserve"> 2010</w:t>
      </w:r>
      <w:r w:rsidRPr="0035414B">
        <w:rPr>
          <w:rFonts w:ascii="Times New Roman" w:hAnsi="Times New Roman"/>
          <w:color w:val="000000"/>
          <w:szCs w:val="21"/>
        </w:rPr>
        <w:t>.</w:t>
      </w:r>
    </w:p>
    <w:p w:rsidR="0035414B" w:rsidRPr="0035414B" w:rsidRDefault="0035414B" w:rsidP="0035414B">
      <w:pPr>
        <w:widowControl/>
        <w:rPr>
          <w:rFonts w:ascii="宋体" w:hAnsi="宋体"/>
          <w:szCs w:val="21"/>
        </w:rPr>
      </w:pPr>
      <w:r>
        <w:rPr>
          <w:rFonts w:ascii="Times New Roman" w:hAnsi="Times New Roman"/>
          <w:szCs w:val="21"/>
        </w:rPr>
        <w:t>[</w:t>
      </w:r>
      <w:r>
        <w:rPr>
          <w:rFonts w:ascii="Times New Roman" w:hAnsi="Times New Roman" w:hint="eastAsia"/>
          <w:szCs w:val="21"/>
        </w:rPr>
        <w:t>8</w:t>
      </w:r>
      <w:bookmarkStart w:id="4" w:name="_GoBack"/>
      <w:bookmarkEnd w:id="4"/>
      <w:r w:rsidRPr="0035414B">
        <w:rPr>
          <w:rFonts w:ascii="Times New Roman" w:hAnsi="Times New Roman"/>
          <w:szCs w:val="21"/>
        </w:rPr>
        <w:t>]</w:t>
      </w:r>
      <w:r w:rsidRPr="0035414B">
        <w:rPr>
          <w:rFonts w:ascii="宋体" w:hAnsi="宋体" w:hint="eastAsia"/>
          <w:szCs w:val="21"/>
        </w:rPr>
        <w:t>高琳</w:t>
      </w:r>
      <w:r w:rsidRPr="0035414B">
        <w:rPr>
          <w:rFonts w:ascii="Times New Roman" w:hAnsi="Times New Roman"/>
          <w:szCs w:val="21"/>
        </w:rPr>
        <w:t>.</w:t>
      </w:r>
      <w:r w:rsidRPr="0035414B">
        <w:rPr>
          <w:rFonts w:ascii="宋体" w:hAnsi="宋体" w:hint="eastAsia"/>
          <w:szCs w:val="21"/>
        </w:rPr>
        <w:t xml:space="preserve"> 跨文化视角下中英文简历的语类分析[D]</w:t>
      </w:r>
      <w:r w:rsidRPr="0035414B">
        <w:rPr>
          <w:rFonts w:ascii="Times New Roman" w:hAnsi="Times New Roman"/>
          <w:szCs w:val="21"/>
        </w:rPr>
        <w:t xml:space="preserve">. </w:t>
      </w:r>
      <w:r w:rsidRPr="0035414B">
        <w:rPr>
          <w:rFonts w:ascii="宋体" w:hAnsi="宋体" w:hint="eastAsia"/>
          <w:szCs w:val="21"/>
        </w:rPr>
        <w:t>天津</w:t>
      </w:r>
      <w:r w:rsidRPr="0035414B">
        <w:rPr>
          <w:rFonts w:ascii="Times New Roman" w:hAnsi="Times New Roman"/>
          <w:szCs w:val="21"/>
        </w:rPr>
        <w:t xml:space="preserve">: </w:t>
      </w:r>
      <w:r w:rsidRPr="0035414B">
        <w:rPr>
          <w:rFonts w:ascii="宋体" w:hAnsi="宋体" w:hint="eastAsia"/>
          <w:szCs w:val="21"/>
        </w:rPr>
        <w:t>天津商业大学</w:t>
      </w:r>
      <w:r w:rsidRPr="0035414B">
        <w:rPr>
          <w:rFonts w:ascii="Times New Roman" w:hAnsi="Times New Roman" w:hint="eastAsia"/>
          <w:szCs w:val="21"/>
        </w:rPr>
        <w:t xml:space="preserve">, </w:t>
      </w:r>
      <w:r w:rsidRPr="0035414B">
        <w:rPr>
          <w:rFonts w:ascii="宋体" w:hAnsi="宋体" w:hint="eastAsia"/>
          <w:szCs w:val="21"/>
        </w:rPr>
        <w:t>2015</w:t>
      </w:r>
      <w:r w:rsidRPr="0035414B">
        <w:rPr>
          <w:rFonts w:ascii="Times New Roman" w:hAnsi="Times New Roman"/>
          <w:szCs w:val="21"/>
        </w:rPr>
        <w:t>.</w:t>
      </w:r>
    </w:p>
    <w:p w:rsidR="00CC7BF2" w:rsidRPr="0035414B" w:rsidRDefault="00CC7BF2" w:rsidP="0035414B"/>
    <w:sectPr w:rsidR="00CC7BF2" w:rsidRPr="003541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59B" w:rsidRDefault="0045159B" w:rsidP="00EA471F">
      <w:r>
        <w:separator/>
      </w:r>
    </w:p>
  </w:endnote>
  <w:endnote w:type="continuationSeparator" w:id="0">
    <w:p w:rsidR="0045159B" w:rsidRDefault="0045159B" w:rsidP="00EA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59B" w:rsidRDefault="0045159B" w:rsidP="00EA471F">
      <w:r>
        <w:separator/>
      </w:r>
    </w:p>
  </w:footnote>
  <w:footnote w:type="continuationSeparator" w:id="0">
    <w:p w:rsidR="0045159B" w:rsidRDefault="0045159B" w:rsidP="00EA47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9524D"/>
    <w:multiLevelType w:val="multilevel"/>
    <w:tmpl w:val="B3601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8720E"/>
    <w:rsid w:val="0035414B"/>
    <w:rsid w:val="0045159B"/>
    <w:rsid w:val="005620C3"/>
    <w:rsid w:val="008A5862"/>
    <w:rsid w:val="00CC7BF2"/>
    <w:rsid w:val="00EA471F"/>
    <w:rsid w:val="30421D30"/>
    <w:rsid w:val="361E41BD"/>
    <w:rsid w:val="40D87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A47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A471F"/>
    <w:rPr>
      <w:rFonts w:ascii="Calibri" w:hAnsi="Calibri"/>
      <w:kern w:val="2"/>
      <w:sz w:val="18"/>
      <w:szCs w:val="18"/>
    </w:rPr>
  </w:style>
  <w:style w:type="paragraph" w:styleId="a4">
    <w:name w:val="footer"/>
    <w:basedOn w:val="a"/>
    <w:link w:val="Char0"/>
    <w:rsid w:val="00EA471F"/>
    <w:pPr>
      <w:tabs>
        <w:tab w:val="center" w:pos="4153"/>
        <w:tab w:val="right" w:pos="8306"/>
      </w:tabs>
      <w:snapToGrid w:val="0"/>
      <w:jc w:val="left"/>
    </w:pPr>
    <w:rPr>
      <w:sz w:val="18"/>
      <w:szCs w:val="18"/>
    </w:rPr>
  </w:style>
  <w:style w:type="character" w:customStyle="1" w:styleId="Char0">
    <w:name w:val="页脚 Char"/>
    <w:basedOn w:val="a0"/>
    <w:link w:val="a4"/>
    <w:rsid w:val="00EA471F"/>
    <w:rPr>
      <w:rFonts w:ascii="Calibri" w:hAnsi="Calibri"/>
      <w:kern w:val="2"/>
      <w:sz w:val="18"/>
      <w:szCs w:val="18"/>
    </w:rPr>
  </w:style>
  <w:style w:type="paragraph" w:styleId="a5">
    <w:name w:val="List Paragraph"/>
    <w:basedOn w:val="a"/>
    <w:uiPriority w:val="99"/>
    <w:unhideWhenUsed/>
    <w:rsid w:val="008A586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A47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A471F"/>
    <w:rPr>
      <w:rFonts w:ascii="Calibri" w:hAnsi="Calibri"/>
      <w:kern w:val="2"/>
      <w:sz w:val="18"/>
      <w:szCs w:val="18"/>
    </w:rPr>
  </w:style>
  <w:style w:type="paragraph" w:styleId="a4">
    <w:name w:val="footer"/>
    <w:basedOn w:val="a"/>
    <w:link w:val="Char0"/>
    <w:rsid w:val="00EA471F"/>
    <w:pPr>
      <w:tabs>
        <w:tab w:val="center" w:pos="4153"/>
        <w:tab w:val="right" w:pos="8306"/>
      </w:tabs>
      <w:snapToGrid w:val="0"/>
      <w:jc w:val="left"/>
    </w:pPr>
    <w:rPr>
      <w:sz w:val="18"/>
      <w:szCs w:val="18"/>
    </w:rPr>
  </w:style>
  <w:style w:type="character" w:customStyle="1" w:styleId="Char0">
    <w:name w:val="页脚 Char"/>
    <w:basedOn w:val="a0"/>
    <w:link w:val="a4"/>
    <w:rsid w:val="00EA471F"/>
    <w:rPr>
      <w:rFonts w:ascii="Calibri" w:hAnsi="Calibri"/>
      <w:kern w:val="2"/>
      <w:sz w:val="18"/>
      <w:szCs w:val="18"/>
    </w:rPr>
  </w:style>
  <w:style w:type="paragraph" w:styleId="a5">
    <w:name w:val="List Paragraph"/>
    <w:basedOn w:val="a"/>
    <w:uiPriority w:val="99"/>
    <w:unhideWhenUsed/>
    <w:rsid w:val="008A586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远方</dc:creator>
  <cp:lastModifiedBy>DELL</cp:lastModifiedBy>
  <cp:revision>2</cp:revision>
  <dcterms:created xsi:type="dcterms:W3CDTF">2020-10-31T07:57:00Z</dcterms:created>
  <dcterms:modified xsi:type="dcterms:W3CDTF">2020-11-02T08:11:00Z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