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Times New Roman" w:hAnsi="Times New Roman" w:cs="Times New Roman"/>
          <w:sz w:val="32"/>
          <w:szCs w:val="32"/>
          <w:lang w:val="en-US" w:eastAsia="zh-CN"/>
        </w:rPr>
      </w:pPr>
      <w:r>
        <w:rPr>
          <w:rFonts w:hint="eastAsia"/>
          <w:sz w:val="36"/>
          <w:szCs w:val="36"/>
          <w:lang w:val="en-US" w:eastAsia="zh-CN"/>
        </w:rPr>
        <w:t>Literature Review of How Language Shapes the Mind</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The correlation between language</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and</w:t>
      </w:r>
      <w:r>
        <w:rPr>
          <w:rFonts w:hint="default" w:ascii="Times New Roman" w:hAnsi="Times New Roman" w:cs="Times New Roman"/>
          <w:sz w:val="32"/>
          <w:szCs w:val="32"/>
          <w:lang w:val="en-US" w:eastAsia="zh-CN"/>
        </w:rPr>
        <w:t xml:space="preserve"> mind has</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been discussed for many centuries</w:t>
      </w:r>
      <w:r>
        <w:rPr>
          <w:rFonts w:hint="eastAsia" w:ascii="Times New Roman" w:hAnsi="Times New Roman" w:cs="Times New Roman"/>
          <w:sz w:val="32"/>
          <w:szCs w:val="32"/>
          <w:lang w:val="en-US" w:eastAsia="zh-CN"/>
        </w:rPr>
        <w:t>. Many linguists, philosophers and psychologists have faced the problem of languages and explored the relationship between language and mind.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Times New Roman" w:hAnsi="Times New Roman" w:cs="Times New Roman"/>
          <w:sz w:val="32"/>
          <w:szCs w:val="32"/>
          <w:lang w:val="en-US" w:eastAsia="zh-CN"/>
        </w:rPr>
        <w:t xml:space="preserve"> </w:t>
      </w:r>
      <w:bookmarkStart w:id="0" w:name="OLE_LINK2"/>
      <w:r>
        <w:rPr>
          <w:rFonts w:hint="default" w:ascii="Times New Roman" w:hAnsi="Times New Roman" w:cs="Times New Roman"/>
          <w:sz w:val="32"/>
          <w:szCs w:val="32"/>
          <w:lang w:val="en-US" w:eastAsia="zh-CN"/>
        </w:rPr>
        <w:t xml:space="preserve">Wilhelm </w:t>
      </w:r>
      <w:r>
        <w:rPr>
          <w:rFonts w:hint="eastAsia" w:ascii="Times New Roman" w:hAnsi="Times New Roman" w:cs="Times New Roman"/>
          <w:sz w:val="32"/>
          <w:szCs w:val="32"/>
          <w:lang w:val="en-US" w:eastAsia="zh-CN"/>
        </w:rPr>
        <w:t>V</w:t>
      </w:r>
      <w:r>
        <w:rPr>
          <w:rFonts w:hint="default" w:ascii="Times New Roman" w:hAnsi="Times New Roman" w:cs="Times New Roman"/>
          <w:sz w:val="32"/>
          <w:szCs w:val="32"/>
          <w:lang w:val="en-US" w:eastAsia="zh-CN"/>
        </w:rPr>
        <w:t xml:space="preserve">on Humboldt </w:t>
      </w:r>
      <w:bookmarkEnd w:id="0"/>
      <w:r>
        <w:rPr>
          <w:rFonts w:hint="default" w:ascii="Times New Roman" w:hAnsi="Times New Roman" w:cs="Times New Roman"/>
          <w:sz w:val="32"/>
          <w:szCs w:val="32"/>
          <w:lang w:val="en-US" w:eastAsia="zh-CN"/>
        </w:rPr>
        <w:t>(1767–1835), for instance, dealt with this question throughout his life, and he did it against the background of profound knowledge about many languages from various families.He abandoned the traditional Aristotelian view that the main function of language is to represent reality. He states</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that the function of language is not only to represent and communicate existing ideas and concepts but also to be </w:t>
      </w:r>
      <w:bookmarkStart w:id="1" w:name="OLE_LINK1"/>
      <w:r>
        <w:rPr>
          <w:rFonts w:hint="default" w:ascii="Times New Roman" w:hAnsi="Times New Roman" w:cs="Times New Roman"/>
          <w:sz w:val="32"/>
          <w:szCs w:val="32"/>
          <w:lang w:val="en-US" w:eastAsia="zh-CN"/>
        </w:rPr>
        <w:t>'das bildende Organ des Gedankes</w:t>
      </w:r>
      <w:bookmarkEnd w:id="1"/>
      <w:r>
        <w:rPr>
          <w:rFonts w:hint="default" w:ascii="Times New Roman" w:hAnsi="Times New Roman" w:cs="Times New Roman"/>
          <w:sz w:val="32"/>
          <w:szCs w:val="32"/>
          <w:lang w:val="en-US" w:eastAsia="zh-CN"/>
        </w:rPr>
        <w:t xml:space="preserve">'. the forming instrument of human thought. He held the view that a specific language spoken by a specific nation contains a certain Weltauffassung </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conception of the world</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 xml:space="preserve"> that is repeated to the speaker and the hearer whenever they are engaged in communication, and which finally results in a certain Weltansicht </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world view</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 xml:space="preserve"> among the speakers of that nation. In that way, language substitutes for reality and makes it objective despite the fact that the speakers’ attitudes and opinions may differ fundamentally from one another.</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The German anthropologist Frans Boas (1858–1842)</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knew Humboldt’s ideas, and he brought them to America.</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Moreover, he himself encountered various American Indian</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languages deriving from many linguistic families and</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realized that the culture and lifestyle of people are reflected</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in their mother tongues. This idea was later systematized by</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his pupil, Edward Sapir (1884–1939). According to Sapir, a</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specific language is a coherent system of grammatical categories that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interact with thought and behaviour, not at word</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level, but at a higher and wider level—what today one</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would call text level </w:t>
      </w:r>
      <w:r>
        <w:rPr>
          <w:rFonts w:hint="eastAsia" w:ascii="Times New Roman" w:hAnsi="Times New Roman" w:cs="Times New Roman"/>
          <w:sz w:val="32"/>
          <w:szCs w:val="32"/>
          <w:lang w:val="en-US" w:eastAsia="zh-CN"/>
        </w:rPr>
        <w:t>(1921)</w:t>
      </w:r>
      <w:r>
        <w:rPr>
          <w:rFonts w:hint="default" w:ascii="Times New Roman" w:hAnsi="Times New Roman" w:cs="Times New Roman"/>
          <w:sz w:val="32"/>
          <w:szCs w:val="32"/>
          <w:lang w:val="en-US" w:eastAsia="zh-CN"/>
        </w:rPr>
        <w:t>. Sapir’s pupil, Benjamin Lee</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Whorf (1897–1941), was influenced by these ideas and set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out to refine them. By studying the grammatical categories</w:t>
      </w:r>
      <w:r>
        <w:rPr>
          <w:rFonts w:hint="eastAsia" w:ascii="Times New Roman" w:hAnsi="Times New Roman" w:cs="Times New Roman"/>
          <w:sz w:val="32"/>
          <w:szCs w:val="32"/>
          <w:lang w:val="en-US" w:eastAsia="zh-CN"/>
        </w:rPr>
        <w:t xml:space="preserve"> of various American Indian languages, he demonstrated that they were structurally very different from European languages or Standard Average European (SAE) as he called them (1956). He claimed that the mother tongue influences the speakers’ way of thinking and acting, and as a result of that, people having different languages as their mother tongue think and act differently. The set of ideas is also named the linguistic relativity hypothesis. It exists in two varieties: the weak version associated with Sapir and the strong version linked to Whorf.</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Noam Chomsky’s </w:t>
      </w:r>
      <w:r>
        <w:rPr>
          <w:rFonts w:hint="eastAsia" w:ascii="Times New Roman" w:hAnsi="Times New Roman" w:cs="Times New Roman"/>
          <w:i/>
          <w:iCs/>
          <w:sz w:val="32"/>
          <w:szCs w:val="32"/>
          <w:lang w:val="en-US" w:eastAsia="zh-CN"/>
        </w:rPr>
        <w:t xml:space="preserve">Syntactic structures </w:t>
      </w:r>
      <w:r>
        <w:rPr>
          <w:rFonts w:hint="eastAsia" w:ascii="Times New Roman" w:hAnsi="Times New Roman" w:cs="Times New Roman"/>
          <w:i w:val="0"/>
          <w:iCs w:val="0"/>
          <w:sz w:val="32"/>
          <w:szCs w:val="32"/>
          <w:lang w:val="en-US" w:eastAsia="zh-CN"/>
        </w:rPr>
        <w:t>(1957)</w:t>
      </w:r>
      <w:r>
        <w:rPr>
          <w:rFonts w:hint="eastAsia" w:ascii="Times New Roman" w:hAnsi="Times New Roman" w:cs="Times New Roman"/>
          <w:sz w:val="32"/>
          <w:szCs w:val="32"/>
          <w:lang w:val="en-US" w:eastAsia="zh-CN"/>
        </w:rPr>
        <w:t xml:space="preserve"> from marked the beginning of a new era in linguistics and related disciplines: his theory of generative grammar appealed not only to linguists and psychologists but certainly also to all scholars working in the area of information technology and artificial intelligence. Chomsky explained the ease and speed of a child’s acquisition of its mother tongue by arguing that language is innate and that there exists a universal grammar. From a deep structure point of view, all languages are identical, and since semantics is linked directly to deep structure, it follows that languages only differ from one another on the surface. This is tantamount to saying that languages may differ with respect to means of expression, but they essentially share the same content.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A Chinese linguist, Zhnag Wentai(1981) though that it is precisely because of the internal contradiction between language and mind that a person's mastery of language is promoted. It is also because of the internal contradiction between language and thinking that a nation's vocabulary is continuously increased, language is slowly developed, mind is gradually enhanced, and the level of knowledge is continuously improved. In a word, the vitality of language and mind comes from their internal contradictions. Of course, it goes without saying that every development of language and mind must depend on human social practice.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The relationship between language and mind is far more than just that simple, to dig deeper, there are many specific problems, such as the origin of language and mind, the respective positions of language and mind in the whole they constitute, the role of language in mind...... the scope is very wide. It is precisely these questions that inspire philosophers, linguists, psychologists and other theorists to explore. Due to their different perspectives, positions, methods and other aspects of observation and research, different thoughts and viewpoints have been formed.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From these discussions above, we can see that mind and language are always intertwined, and it is difficult to get rid of the "entanglement" of language in people's mind. As Marx believed, the immediate reality of thought is language, and ideas cannot exist without language. Language is "the element of thought itself, the vital expression of thought".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default" w:ascii="Times New Roman" w:hAnsi="Times New Roman" w:cs="Times New Roman"/>
          <w:sz w:val="32"/>
          <w:szCs w:val="32"/>
          <w:lang w:val="en-US" w:eastAsia="zh-CN"/>
        </w:rPr>
        <w:t>References</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[1]von Humboldt W. Gesammelte Schriften (GS), I-XXVII. Berlin: Behr; 1903–1936.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[2]Sapir E. Language. An introduction to the study of speech. New York: Harcourt, Brace &amp; World, Inc; 1921.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[3]Whorf BL. Language. Thought and reality. Selected writings.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Cambridge: The M.I.T. Press; 1956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 Chomsky N. Syntactic structures. The Hague: Mouton; 1957.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[5]张文泰. 语言与思维的矛盾浅探[J]. 天津师院学报: 哲学与人文科学, 1981 (6):82-85+19.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[6]魏博辉. 语言与思维关系析要[J]. 燕山大学学报（哲学社会科学版）: 哲学与人文科学, 2011 (12):48-56.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3577A2F"/>
    <w:rsid w:val="0F661726"/>
    <w:rsid w:val="10831E63"/>
    <w:rsid w:val="1A1D5C27"/>
    <w:rsid w:val="30F0012C"/>
    <w:rsid w:val="34384B8F"/>
    <w:rsid w:val="40331872"/>
    <w:rsid w:val="49CC2E20"/>
    <w:rsid w:val="564E0AAE"/>
    <w:rsid w:val="5D1A6C78"/>
    <w:rsid w:val="5D990D9F"/>
    <w:rsid w:val="64772CF6"/>
    <w:rsid w:val="7A34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2022-04-26T13:25:48Z</dcterms:created>
  <dc:creator>李欣</dc:creator>
  <cp:lastModifiedBy>巫言l</cp:lastModifiedBy>
  <dcterms:modified xsi:type="dcterms:W3CDTF">2022-04-26T15:35:20Z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B51508D6A28641BFA388A0BA3266E535</vt:lpwstr>
  </property>
</Properties>
</file>